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0C92F" w14:textId="7622516F"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Pr="00DB3907">
        <w:rPr>
          <w:rFonts w:cs="Courier New"/>
          <w:sz w:val="24"/>
          <w:szCs w:val="24"/>
          <w:lang w:val="de-DE"/>
        </w:rPr>
        <w:tab/>
      </w:r>
      <w:r w:rsidR="007405EF" w:rsidRPr="007405EF">
        <w:rPr>
          <w:rFonts w:cs="Courier New"/>
          <w:sz w:val="24"/>
          <w:szCs w:val="24"/>
          <w:lang w:val="de-DE"/>
        </w:rPr>
        <w:t>R4-165832</w:t>
      </w:r>
    </w:p>
    <w:p w14:paraId="31F2EABD" w14:textId="77777777" w:rsidR="00981D0D" w:rsidRPr="00DB3907" w:rsidRDefault="00981D0D" w:rsidP="00AC033F">
      <w:pPr>
        <w:pStyle w:val="Header"/>
        <w:tabs>
          <w:tab w:val="left" w:pos="6521"/>
        </w:tabs>
        <w:jc w:val="both"/>
        <w:rPr>
          <w:rFonts w:cs="Courier New"/>
          <w:sz w:val="24"/>
          <w:szCs w:val="24"/>
        </w:rPr>
      </w:pPr>
      <w:r>
        <w:rPr>
          <w:rFonts w:cs="Courier New"/>
          <w:sz w:val="24"/>
          <w:szCs w:val="24"/>
        </w:rPr>
        <w:t>Aug 22</w:t>
      </w:r>
      <w:r>
        <w:rPr>
          <w:rFonts w:cs="Courier New"/>
          <w:sz w:val="24"/>
          <w:szCs w:val="24"/>
          <w:vertAlign w:val="superscript"/>
        </w:rPr>
        <w:t xml:space="preserve">nd </w:t>
      </w:r>
      <w:r w:rsidRPr="00DB3907">
        <w:rPr>
          <w:rFonts w:cs="Courier New"/>
          <w:sz w:val="24"/>
          <w:szCs w:val="24"/>
        </w:rPr>
        <w:t xml:space="preserve">– </w:t>
      </w:r>
      <w:r>
        <w:rPr>
          <w:rFonts w:cs="Courier New"/>
          <w:sz w:val="24"/>
          <w:szCs w:val="24"/>
        </w:rPr>
        <w:t>26</w:t>
      </w:r>
      <w:r>
        <w:rPr>
          <w:rFonts w:cs="Courier New"/>
          <w:sz w:val="24"/>
          <w:szCs w:val="24"/>
          <w:vertAlign w:val="superscript"/>
        </w:rPr>
        <w:t>th</w:t>
      </w:r>
      <w:r>
        <w:rPr>
          <w:rFonts w:cs="Courier New"/>
          <w:sz w:val="24"/>
          <w:szCs w:val="24"/>
        </w:rPr>
        <w:t>, 2016</w:t>
      </w:r>
    </w:p>
    <w:p w14:paraId="4F242642" w14:textId="77777777" w:rsidR="00981D0D" w:rsidRPr="00DB3907" w:rsidRDefault="00981D0D" w:rsidP="00AC033F">
      <w:pPr>
        <w:pStyle w:val="Header"/>
        <w:jc w:val="both"/>
        <w:rPr>
          <w:rFonts w:cs="Courier New"/>
          <w:sz w:val="24"/>
          <w:szCs w:val="24"/>
        </w:rPr>
      </w:pPr>
      <w:r w:rsidRPr="008D7202">
        <w:rPr>
          <w:rFonts w:cs="Courier New"/>
          <w:sz w:val="24"/>
          <w:szCs w:val="24"/>
        </w:rPr>
        <w:t>Gothenburg, Sweden</w:t>
      </w:r>
      <w:r>
        <w:rPr>
          <w:rFonts w:cs="Courier New"/>
          <w:sz w:val="24"/>
          <w:szCs w:val="24"/>
        </w:rPr>
        <w:t xml:space="preserve"> </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76B390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44DBE">
        <w:rPr>
          <w:rFonts w:ascii="Arial" w:hAnsi="Arial"/>
          <w:sz w:val="24"/>
          <w:lang w:val="en-US"/>
        </w:rPr>
        <w:t>C</w:t>
      </w:r>
      <w:r w:rsidR="00644DBE" w:rsidRPr="00644DBE">
        <w:rPr>
          <w:rFonts w:ascii="Arial" w:hAnsi="Arial"/>
          <w:sz w:val="24"/>
          <w:lang w:val="en-US"/>
        </w:rPr>
        <w:t>alibration curves for NR coexistence in indoor scenario</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7B664AC" w14:textId="44E0E5DF" w:rsidR="00644DBE" w:rsidRDefault="00644DBE" w:rsidP="0020451B">
      <w:pPr>
        <w:jc w:val="both"/>
      </w:pPr>
      <w:r>
        <w:t xml:space="preserve">In this contribution we provide a set of </w:t>
      </w:r>
      <w:proofErr w:type="spellStart"/>
      <w:r>
        <w:t>pathloss</w:t>
      </w:r>
      <w:proofErr w:type="spellEnd"/>
      <w:r>
        <w:t>, coupling loss, Signal to Interference ratio (SIR) and Signal to Interference and Noise ratio (SINR) curves for NR coexistence simulation in Indoor scenario.</w:t>
      </w:r>
      <w:r w:rsidR="00E63E2E">
        <w:t xml:space="preserve"> Only Downlink (DL) case is taken into account.</w:t>
      </w:r>
      <w:r>
        <w:t xml:space="preserve"> Rather than deriving RF requirements based on </w:t>
      </w:r>
      <w:r w:rsidR="001C3762">
        <w:t xml:space="preserve">the outcome of the </w:t>
      </w:r>
      <w:r>
        <w:t xml:space="preserve">adjacent channel coexistence simulation, the goal of this paper is to provide input to the ongoing calibration process </w:t>
      </w:r>
      <w:r w:rsidR="00285405">
        <w:t xml:space="preserve">across different companies involved in the RAN4 </w:t>
      </w:r>
      <w:proofErr w:type="spellStart"/>
      <w:r w:rsidR="00285405">
        <w:t>coex</w:t>
      </w:r>
      <w:proofErr w:type="spellEnd"/>
      <w:r w:rsidR="00285405">
        <w:t xml:space="preserve"> study</w:t>
      </w:r>
      <w:r w:rsidR="0020451B">
        <w:t>.</w:t>
      </w:r>
      <w:r>
        <w:t xml:space="preserve"> All the results </w:t>
      </w:r>
      <w:r w:rsidR="0020451B">
        <w:t xml:space="preserve">are based on </w:t>
      </w:r>
      <w:r>
        <w:t xml:space="preserve">the methodology </w:t>
      </w:r>
      <w:r w:rsidR="0020451B">
        <w:t>we proposed</w:t>
      </w:r>
      <w:r>
        <w:t xml:space="preserve"> in </w:t>
      </w:r>
      <w:r>
        <w:fldChar w:fldCharType="begin"/>
      </w:r>
      <w:r>
        <w:instrText xml:space="preserve"> REF _Ref458610513 \r \h </w:instrText>
      </w:r>
      <w:r>
        <w:fldChar w:fldCharType="separate"/>
      </w:r>
      <w:r w:rsidR="00A5193E">
        <w:t>[1]</w:t>
      </w:r>
      <w:r>
        <w:fldChar w:fldCharType="end"/>
      </w:r>
      <w:r>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665DE0A" w14:textId="0B695A1D" w:rsidR="00A13B01" w:rsidRDefault="0020451B" w:rsidP="00AC033F">
      <w:pPr>
        <w:jc w:val="both"/>
        <w:rPr>
          <w:lang w:eastAsia="ja-JP"/>
        </w:rPr>
      </w:pPr>
      <w:r>
        <w:rPr>
          <w:lang w:eastAsia="ja-JP"/>
        </w:rPr>
        <w:t xml:space="preserve">This contribution mainly consists </w:t>
      </w:r>
      <w:r w:rsidR="00285405">
        <w:rPr>
          <w:lang w:eastAsia="ja-JP"/>
        </w:rPr>
        <w:t>of</w:t>
      </w:r>
      <w:r>
        <w:rPr>
          <w:lang w:eastAsia="ja-JP"/>
        </w:rPr>
        <w:t xml:space="preserve"> a collection of curves which can be used as input for the calibration process </w:t>
      </w:r>
      <w:r w:rsidR="003D395F">
        <w:rPr>
          <w:lang w:eastAsia="ja-JP"/>
        </w:rPr>
        <w:t xml:space="preserve">of NR </w:t>
      </w:r>
      <w:proofErr w:type="spellStart"/>
      <w:r w:rsidR="003D395F">
        <w:rPr>
          <w:lang w:eastAsia="ja-JP"/>
        </w:rPr>
        <w:t>coex</w:t>
      </w:r>
      <w:proofErr w:type="spellEnd"/>
      <w:r w:rsidR="003D395F">
        <w:rPr>
          <w:lang w:eastAsia="ja-JP"/>
        </w:rPr>
        <w:t xml:space="preserve"> simulators</w:t>
      </w:r>
      <w:r>
        <w:rPr>
          <w:lang w:eastAsia="ja-JP"/>
        </w:rPr>
        <w:t xml:space="preserve">. The methodology we adopted is described with high level of details in </w:t>
      </w:r>
      <w:r>
        <w:rPr>
          <w:lang w:eastAsia="ja-JP"/>
        </w:rPr>
        <w:fldChar w:fldCharType="begin"/>
      </w:r>
      <w:r>
        <w:rPr>
          <w:lang w:eastAsia="ja-JP"/>
        </w:rPr>
        <w:instrText xml:space="preserve"> REF _Ref458610513 \r \h </w:instrText>
      </w:r>
      <w:r>
        <w:rPr>
          <w:lang w:eastAsia="ja-JP"/>
        </w:rPr>
      </w:r>
      <w:r>
        <w:rPr>
          <w:lang w:eastAsia="ja-JP"/>
        </w:rPr>
        <w:fldChar w:fldCharType="separate"/>
      </w:r>
      <w:r w:rsidR="00A5193E">
        <w:rPr>
          <w:lang w:eastAsia="ja-JP"/>
        </w:rPr>
        <w:t>[1]</w:t>
      </w:r>
      <w:r>
        <w:rPr>
          <w:lang w:eastAsia="ja-JP"/>
        </w:rPr>
        <w:fldChar w:fldCharType="end"/>
      </w:r>
      <w:r>
        <w:rPr>
          <w:lang w:eastAsia="ja-JP"/>
        </w:rPr>
        <w:t>. In the following section, we will only recap the main assumptions</w:t>
      </w:r>
      <w:r w:rsidR="003D395F">
        <w:rPr>
          <w:lang w:eastAsia="ja-JP"/>
        </w:rPr>
        <w:t>.</w:t>
      </w:r>
      <w:r>
        <w:rPr>
          <w:lang w:eastAsia="ja-JP"/>
        </w:rPr>
        <w:t xml:space="preserve"> </w:t>
      </w:r>
    </w:p>
    <w:p w14:paraId="5C66A642" w14:textId="46A8F810" w:rsidR="00A13B01" w:rsidRDefault="0020451B" w:rsidP="00AC033F">
      <w:pPr>
        <w:pStyle w:val="Heading2"/>
        <w:jc w:val="both"/>
        <w:rPr>
          <w:lang w:val="en-US"/>
        </w:rPr>
      </w:pPr>
      <w:bookmarkStart w:id="0" w:name="_Ref458615668"/>
      <w:r>
        <w:rPr>
          <w:lang w:val="en-US"/>
        </w:rPr>
        <w:t>Methodology and main assumptions</w:t>
      </w:r>
      <w:bookmarkEnd w:id="0"/>
    </w:p>
    <w:p w14:paraId="5F70B2C2" w14:textId="66635BD5" w:rsidR="003D395F" w:rsidRDefault="003D395F" w:rsidP="00021DD2">
      <w:pPr>
        <w:jc w:val="both"/>
        <w:rPr>
          <w:lang w:val="en-US"/>
        </w:rPr>
      </w:pPr>
      <w:r>
        <w:rPr>
          <w:lang w:val="en-US"/>
        </w:rPr>
        <w:t>The simulation process is based on the following steps:</w:t>
      </w:r>
    </w:p>
    <w:p w14:paraId="37DCED18" w14:textId="77777777" w:rsidR="003D395F" w:rsidRPr="008C4DC0" w:rsidRDefault="003D395F" w:rsidP="003D395F">
      <w:pPr>
        <w:pStyle w:val="ListParagraph"/>
        <w:numPr>
          <w:ilvl w:val="0"/>
          <w:numId w:val="40"/>
        </w:numPr>
        <w:jc w:val="both"/>
        <w:rPr>
          <w:lang w:val="en-US"/>
        </w:rPr>
      </w:pPr>
      <w:r w:rsidRPr="008C4DC0">
        <w:rPr>
          <w:lang w:val="en-US"/>
        </w:rPr>
        <w:t>Aggressor and victim network are generated</w:t>
      </w:r>
    </w:p>
    <w:p w14:paraId="31809633" w14:textId="77777777" w:rsidR="003D395F" w:rsidRPr="008C4DC0" w:rsidRDefault="003D395F" w:rsidP="003D395F">
      <w:pPr>
        <w:pStyle w:val="ListParagraph"/>
        <w:numPr>
          <w:ilvl w:val="0"/>
          <w:numId w:val="40"/>
        </w:numPr>
        <w:jc w:val="both"/>
        <w:rPr>
          <w:lang w:val="en-US"/>
        </w:rPr>
      </w:pPr>
      <w:r w:rsidRPr="008C4DC0">
        <w:rPr>
          <w:lang w:val="en-US"/>
        </w:rPr>
        <w:t>UE associations: UE are associated to base station based on coupling loss. In this step there are two possible alternatives:</w:t>
      </w:r>
    </w:p>
    <w:p w14:paraId="2D0EEC42" w14:textId="0386C43A" w:rsidR="003D395F" w:rsidRPr="008C4DC0" w:rsidRDefault="003D395F" w:rsidP="003D395F">
      <w:pPr>
        <w:pStyle w:val="ListParagraph"/>
        <w:numPr>
          <w:ilvl w:val="1"/>
          <w:numId w:val="40"/>
        </w:numPr>
        <w:jc w:val="both"/>
        <w:rPr>
          <w:lang w:val="en-US"/>
        </w:rPr>
      </w:pPr>
      <w:r w:rsidRPr="008C4DC0">
        <w:rPr>
          <w:lang w:val="en-US"/>
        </w:rPr>
        <w:t xml:space="preserve">Associations is made assuming </w:t>
      </w:r>
      <w:r>
        <w:rPr>
          <w:lang w:val="en-US"/>
        </w:rPr>
        <w:t xml:space="preserve">a single element pointing to </w:t>
      </w:r>
      <w:r w:rsidRPr="008C4DC0">
        <w:rPr>
          <w:lang w:val="en-US"/>
        </w:rPr>
        <w:t>the sector direction</w:t>
      </w:r>
      <w:r w:rsidR="00E34239">
        <w:rPr>
          <w:lang w:val="en-US"/>
        </w:rPr>
        <w:t>.</w:t>
      </w:r>
    </w:p>
    <w:p w14:paraId="308A6FA0" w14:textId="642289DC" w:rsidR="003D395F" w:rsidRPr="008C4DC0" w:rsidRDefault="003D395F" w:rsidP="003D395F">
      <w:pPr>
        <w:pStyle w:val="ListParagraph"/>
        <w:numPr>
          <w:ilvl w:val="1"/>
          <w:numId w:val="40"/>
        </w:numPr>
        <w:jc w:val="both"/>
        <w:rPr>
          <w:lang w:val="en-US"/>
        </w:rPr>
      </w:pPr>
      <w:r w:rsidRPr="008C4DC0">
        <w:rPr>
          <w:lang w:val="en-US"/>
        </w:rPr>
        <w:t xml:space="preserve">Associations is made assuming </w:t>
      </w:r>
      <w:r>
        <w:rPr>
          <w:lang w:val="en-US"/>
        </w:rPr>
        <w:t xml:space="preserve">the </w:t>
      </w:r>
      <w:proofErr w:type="spellStart"/>
      <w:r w:rsidRPr="008C4DC0">
        <w:rPr>
          <w:lang w:val="en-US"/>
        </w:rPr>
        <w:t>MxN</w:t>
      </w:r>
      <w:proofErr w:type="spellEnd"/>
      <w:r w:rsidRPr="008C4DC0">
        <w:rPr>
          <w:lang w:val="en-US"/>
        </w:rPr>
        <w:t xml:space="preserve"> </w:t>
      </w:r>
      <w:r>
        <w:rPr>
          <w:lang w:val="en-US"/>
        </w:rPr>
        <w:t xml:space="preserve">array </w:t>
      </w:r>
      <w:r w:rsidRPr="008C4DC0">
        <w:rPr>
          <w:lang w:val="en-US"/>
        </w:rPr>
        <w:t>pointing at the sector direction</w:t>
      </w:r>
      <w:r w:rsidR="00E34239">
        <w:rPr>
          <w:lang w:val="en-US"/>
        </w:rPr>
        <w:t>.</w:t>
      </w:r>
    </w:p>
    <w:p w14:paraId="49E92A30" w14:textId="1C0F9DE2" w:rsidR="003D395F" w:rsidRPr="008C4DC0" w:rsidRDefault="003D395F" w:rsidP="003D395F">
      <w:pPr>
        <w:pStyle w:val="ListParagraph"/>
        <w:numPr>
          <w:ilvl w:val="0"/>
          <w:numId w:val="40"/>
        </w:numPr>
        <w:jc w:val="both"/>
        <w:rPr>
          <w:lang w:val="en-US"/>
        </w:rPr>
      </w:pPr>
      <w:r w:rsidRPr="008C4DC0">
        <w:rPr>
          <w:lang w:val="en-US"/>
        </w:rPr>
        <w:t xml:space="preserve">Once association is done, round robin scheduling is used. BF weights are adjusted to point to the LOS direction </w:t>
      </w:r>
      <w:r>
        <w:rPr>
          <w:lang w:val="en-US"/>
        </w:rPr>
        <w:t xml:space="preserve">between </w:t>
      </w:r>
      <w:r w:rsidRPr="008C4DC0">
        <w:rPr>
          <w:lang w:val="en-US"/>
        </w:rPr>
        <w:t>BS-UE. This done for both victim and aggressor networks</w:t>
      </w:r>
      <w:r w:rsidR="00E34239">
        <w:rPr>
          <w:lang w:val="en-US"/>
        </w:rPr>
        <w:t>.</w:t>
      </w:r>
    </w:p>
    <w:p w14:paraId="11043DD8" w14:textId="1E289C3A" w:rsidR="003D395F" w:rsidRPr="008C4DC0" w:rsidRDefault="003D395F" w:rsidP="003D395F">
      <w:pPr>
        <w:pStyle w:val="ListParagraph"/>
        <w:numPr>
          <w:ilvl w:val="0"/>
          <w:numId w:val="40"/>
        </w:numPr>
        <w:jc w:val="both"/>
        <w:rPr>
          <w:lang w:val="en-US"/>
        </w:rPr>
      </w:pPr>
      <w:r w:rsidRPr="008C4DC0">
        <w:rPr>
          <w:lang w:val="en-US"/>
        </w:rPr>
        <w:t>SINR Throughput are measured in the victim systems without considering ACI, i.e</w:t>
      </w:r>
      <w:proofErr w:type="gramStart"/>
      <w:r w:rsidRPr="008C4DC0">
        <w:rPr>
          <w:lang w:val="en-US"/>
        </w:rPr>
        <w:t>.</w:t>
      </w:r>
      <w:r w:rsidRPr="008C4DC0">
        <w:rPr>
          <w:b/>
          <w:bCs/>
          <w:lang w:val="en-US"/>
        </w:rPr>
        <w:t xml:space="preserve"> </w:t>
      </w:r>
      <w:proofErr w:type="gramEnd"/>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8C4DC0">
        <w:rPr>
          <w:lang w:val="en-US"/>
        </w:rPr>
        <w:t xml:space="preserve"> is the inter-cell interference</w:t>
      </w:r>
      <w:r w:rsidR="00E34239">
        <w:rPr>
          <w:lang w:val="en-US"/>
        </w:rPr>
        <w:t>.</w:t>
      </w:r>
    </w:p>
    <w:p w14:paraId="6AC5491B" w14:textId="16FE2E98" w:rsidR="003D395F" w:rsidRPr="008C4DC0" w:rsidRDefault="003D395F" w:rsidP="003D395F">
      <w:pPr>
        <w:pStyle w:val="ListParagraph"/>
        <w:numPr>
          <w:ilvl w:val="0"/>
          <w:numId w:val="40"/>
        </w:numPr>
        <w:jc w:val="both"/>
        <w:rPr>
          <w:lang w:val="en-US"/>
        </w:rPr>
      </w:pPr>
      <w:r w:rsidRPr="008C4DC0">
        <w:rPr>
          <w:lang w:val="en-US"/>
        </w:rPr>
        <w:t>SINR and throughput are computed considering ACI</w:t>
      </w:r>
      <w:proofErr w:type="gramStart"/>
      <w:r w:rsidRPr="008C4DC0">
        <w:rPr>
          <w:lang w:val="en-US"/>
        </w:rPr>
        <w:t xml:space="preserve">: </w:t>
      </w:r>
      <w:proofErr w:type="gramEnd"/>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8C4DC0">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8C4DC0">
        <w:rPr>
          <w:lang w:val="en-US"/>
        </w:rPr>
        <w:t xml:space="preserve"> is the adjacent channel interference</w:t>
      </w:r>
      <w:r w:rsidR="00E34239">
        <w:rPr>
          <w:lang w:val="en-US"/>
        </w:rPr>
        <w:t>.</w:t>
      </w:r>
    </w:p>
    <w:p w14:paraId="2D926F25" w14:textId="77777777" w:rsidR="003D395F" w:rsidRPr="008C4DC0" w:rsidRDefault="003D395F" w:rsidP="003D395F">
      <w:pPr>
        <w:pStyle w:val="ListParagraph"/>
        <w:numPr>
          <w:ilvl w:val="0"/>
          <w:numId w:val="40"/>
        </w:numPr>
        <w:jc w:val="both"/>
        <w:rPr>
          <w:lang w:val="en-US"/>
        </w:rPr>
      </w:pPr>
      <w:r w:rsidRPr="008C4DC0">
        <w:rPr>
          <w:lang w:val="en-US"/>
        </w:rPr>
        <w:t>RF parameters are determined based degradation cause by ACI</w:t>
      </w:r>
      <w:proofErr w:type="gramStart"/>
      <w:r w:rsidRPr="008C4DC0">
        <w:rPr>
          <w:lang w:val="en-US"/>
        </w:rPr>
        <w:t xml:space="preserve">: </w:t>
      </w:r>
      <w:proofErr w:type="gramEnd"/>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8C4DC0">
        <w:rPr>
          <w:lang w:val="en-US"/>
        </w:rPr>
        <w:t xml:space="preserve">. </w:t>
      </w:r>
    </w:p>
    <w:p w14:paraId="0E632158" w14:textId="43C4CBCA" w:rsidR="003D395F" w:rsidRDefault="003D395F" w:rsidP="00021DD2">
      <w:pPr>
        <w:rPr>
          <w:lang w:val="en-US"/>
        </w:rPr>
      </w:pPr>
      <w:r>
        <w:rPr>
          <w:lang w:val="en-US"/>
        </w:rPr>
        <w:t>Note that in this paper we will not show final throughput degradation results, but we will focus on the signals and interference distributions.</w:t>
      </w:r>
    </w:p>
    <w:p w14:paraId="6747AD00" w14:textId="4BF28E70" w:rsidR="003D395F" w:rsidRDefault="003D395F" w:rsidP="00021DD2">
      <w:pPr>
        <w:rPr>
          <w:lang w:val="en-US"/>
        </w:rPr>
      </w:pPr>
      <w:r>
        <w:rPr>
          <w:lang w:val="en-US"/>
        </w:rPr>
        <w:t xml:space="preserve">Regarding the layout we assume the Indoor office layout as described in </w:t>
      </w:r>
      <w:r w:rsidR="00E63E2E">
        <w:rPr>
          <w:lang w:val="en-US"/>
        </w:rPr>
        <w:fldChar w:fldCharType="begin"/>
      </w:r>
      <w:r w:rsidR="00E63E2E">
        <w:rPr>
          <w:lang w:val="en-US"/>
        </w:rPr>
        <w:instrText xml:space="preserve"> REF _Ref458612082 \r \h </w:instrText>
      </w:r>
      <w:r w:rsidR="00021DD2">
        <w:rPr>
          <w:lang w:val="en-US"/>
        </w:rPr>
        <w:instrText xml:space="preserve"> \* MERGEFORMAT </w:instrText>
      </w:r>
      <w:r w:rsidR="00E63E2E">
        <w:rPr>
          <w:lang w:val="en-US"/>
        </w:rPr>
      </w:r>
      <w:r w:rsidR="00E63E2E">
        <w:rPr>
          <w:lang w:val="en-US"/>
        </w:rPr>
        <w:fldChar w:fldCharType="separate"/>
      </w:r>
      <w:r w:rsidR="00A5193E">
        <w:rPr>
          <w:lang w:val="en-US"/>
        </w:rPr>
        <w:t>[2]</w:t>
      </w:r>
      <w:r w:rsidR="00E63E2E">
        <w:rPr>
          <w:lang w:val="en-US"/>
        </w:rPr>
        <w:fldChar w:fldCharType="end"/>
      </w:r>
      <w:r w:rsidR="00E63E2E">
        <w:rPr>
          <w:lang w:val="en-US"/>
        </w:rPr>
        <w:t xml:space="preserve"> and depicted in </w:t>
      </w:r>
      <w:r w:rsidR="00E63E2E">
        <w:rPr>
          <w:lang w:val="en-US"/>
        </w:rPr>
        <w:fldChar w:fldCharType="begin"/>
      </w:r>
      <w:r w:rsidR="00E63E2E">
        <w:rPr>
          <w:lang w:val="en-US"/>
        </w:rPr>
        <w:instrText xml:space="preserve"> REF _Ref458612114 \h </w:instrText>
      </w:r>
      <w:r w:rsidR="00021DD2">
        <w:rPr>
          <w:lang w:val="en-US"/>
        </w:rPr>
        <w:instrText xml:space="preserve"> \* MERGEFORMAT </w:instrText>
      </w:r>
      <w:r w:rsidR="00E63E2E">
        <w:rPr>
          <w:lang w:val="en-US"/>
        </w:rPr>
      </w:r>
      <w:r w:rsidR="00E63E2E">
        <w:rPr>
          <w:lang w:val="en-US"/>
        </w:rPr>
        <w:fldChar w:fldCharType="separate"/>
      </w:r>
      <w:r w:rsidR="00A5193E">
        <w:t xml:space="preserve">Figure </w:t>
      </w:r>
      <w:r w:rsidR="00A5193E">
        <w:rPr>
          <w:noProof/>
        </w:rPr>
        <w:t>1</w:t>
      </w:r>
      <w:r w:rsidR="00E63E2E">
        <w:rPr>
          <w:lang w:val="en-US"/>
        </w:rPr>
        <w:fldChar w:fldCharType="end"/>
      </w:r>
      <w:r w:rsidR="00E63E2E">
        <w:rPr>
          <w:lang w:val="en-US"/>
        </w:rPr>
        <w:t>.</w:t>
      </w:r>
    </w:p>
    <w:p w14:paraId="5F2D6C58" w14:textId="77777777" w:rsidR="00E63E2E" w:rsidRDefault="00E63E2E" w:rsidP="00E63E2E">
      <w:pPr>
        <w:keepNext/>
        <w:jc w:val="center"/>
      </w:pPr>
      <w:r w:rsidRPr="005F231F">
        <w:rPr>
          <w:noProof/>
          <w:lang w:val="en-US"/>
        </w:rPr>
        <w:lastRenderedPageBreak/>
        <w:drawing>
          <wp:inline distT="0" distB="0" distL="0" distR="0" wp14:anchorId="7C3CB4E1" wp14:editId="00B534E1">
            <wp:extent cx="4526280" cy="21564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6280" cy="2156460"/>
                    </a:xfrm>
                    <a:prstGeom prst="rect">
                      <a:avLst/>
                    </a:prstGeom>
                    <a:noFill/>
                    <a:ln>
                      <a:noFill/>
                    </a:ln>
                  </pic:spPr>
                </pic:pic>
              </a:graphicData>
            </a:graphic>
          </wp:inline>
        </w:drawing>
      </w:r>
    </w:p>
    <w:p w14:paraId="157D1FE1" w14:textId="2B3255F0" w:rsidR="00E63E2E" w:rsidRPr="003D395F" w:rsidRDefault="00E63E2E" w:rsidP="00E63E2E">
      <w:pPr>
        <w:pStyle w:val="Caption"/>
        <w:jc w:val="center"/>
        <w:rPr>
          <w:lang w:val="en-US"/>
        </w:rPr>
      </w:pPr>
      <w:bookmarkStart w:id="1" w:name="_Ref458612114"/>
      <w:r>
        <w:t xml:space="preserve">Figure </w:t>
      </w:r>
      <w:r>
        <w:fldChar w:fldCharType="begin"/>
      </w:r>
      <w:r>
        <w:instrText xml:space="preserve"> SEQ Figure \* ARABIC </w:instrText>
      </w:r>
      <w:r>
        <w:fldChar w:fldCharType="separate"/>
      </w:r>
      <w:r w:rsidR="00A5193E">
        <w:rPr>
          <w:noProof/>
        </w:rPr>
        <w:t>1</w:t>
      </w:r>
      <w:r>
        <w:fldChar w:fldCharType="end"/>
      </w:r>
      <w:bookmarkEnd w:id="1"/>
      <w:r>
        <w:t xml:space="preserve">. </w:t>
      </w:r>
      <w:r w:rsidRPr="00E433BA">
        <w:t>Layout of the indoor shopping mall scenario</w:t>
      </w:r>
      <w:r w:rsidR="001C3762">
        <w:t xml:space="preserve"> </w:t>
      </w:r>
      <w:r w:rsidR="001C3762">
        <w:rPr>
          <w:lang w:val="en-US"/>
        </w:rPr>
        <w:fldChar w:fldCharType="begin"/>
      </w:r>
      <w:r w:rsidR="001C3762">
        <w:rPr>
          <w:lang w:val="en-US"/>
        </w:rPr>
        <w:instrText xml:space="preserve"> REF _Ref458612082 \r \h </w:instrText>
      </w:r>
      <w:r w:rsidR="001C3762">
        <w:rPr>
          <w:lang w:val="en-US"/>
        </w:rPr>
      </w:r>
      <w:r w:rsidR="001C3762">
        <w:rPr>
          <w:lang w:val="en-US"/>
        </w:rPr>
        <w:fldChar w:fldCharType="separate"/>
      </w:r>
      <w:r w:rsidR="001C3762">
        <w:rPr>
          <w:lang w:val="en-US"/>
        </w:rPr>
        <w:t>[2]</w:t>
      </w:r>
      <w:r w:rsidR="001C3762">
        <w:rPr>
          <w:lang w:val="en-US"/>
        </w:rPr>
        <w:fldChar w:fldCharType="end"/>
      </w:r>
      <w:r>
        <w:t>.</w:t>
      </w:r>
    </w:p>
    <w:p w14:paraId="799DB94B" w14:textId="63B2C7C0" w:rsidR="00E63E2E" w:rsidRDefault="00E63E2E" w:rsidP="00021DD2">
      <w:pPr>
        <w:jc w:val="both"/>
        <w:rPr>
          <w:lang w:val="en-US"/>
        </w:rPr>
      </w:pPr>
      <w:r>
        <w:rPr>
          <w:lang w:val="en-US"/>
        </w:rPr>
        <w:t xml:space="preserve">This paper focus on DL simulation only, i.e. NR </w:t>
      </w:r>
      <w:proofErr w:type="spellStart"/>
      <w:r>
        <w:rPr>
          <w:lang w:val="en-US"/>
        </w:rPr>
        <w:t>eNodeB</w:t>
      </w:r>
      <w:proofErr w:type="spellEnd"/>
      <w:r>
        <w:rPr>
          <w:lang w:val="en-US"/>
        </w:rPr>
        <w:t xml:space="preserve"> is transmitting and all the statistics are collected at UE side</w:t>
      </w:r>
      <w:r w:rsidR="00285405">
        <w:rPr>
          <w:lang w:val="en-US"/>
        </w:rPr>
        <w:t xml:space="preserve"> (all statistics refer to the serving cell)</w:t>
      </w:r>
      <w:r>
        <w:rPr>
          <w:lang w:val="en-US"/>
        </w:rPr>
        <w:t>.</w:t>
      </w:r>
    </w:p>
    <w:p w14:paraId="7CEEAB7A" w14:textId="37C8ABCF" w:rsidR="00E63E2E" w:rsidRDefault="00E63E2E" w:rsidP="00E63E2E">
      <w:pPr>
        <w:jc w:val="both"/>
        <w:rPr>
          <w:lang w:val="en-US"/>
        </w:rPr>
      </w:pPr>
      <w:r>
        <w:rPr>
          <w:lang w:val="en-US"/>
        </w:rPr>
        <w:t xml:space="preserve">Regarding the way interference from adjacent channel is injected we will assume a single Adjacent Channel Interference Ratio (ACIR) number which takes into account both </w:t>
      </w:r>
      <w:proofErr w:type="spellStart"/>
      <w:r>
        <w:rPr>
          <w:lang w:val="en-US"/>
        </w:rPr>
        <w:t>eNodeB</w:t>
      </w:r>
      <w:proofErr w:type="spellEnd"/>
      <w:r>
        <w:rPr>
          <w:lang w:val="en-US"/>
        </w:rPr>
        <w:t xml:space="preserve"> transmitter imperfections (ACLR) and UE receiver imperfections (ACS). As proposed and motived in </w:t>
      </w:r>
      <w:r>
        <w:rPr>
          <w:lang w:val="en-US"/>
        </w:rPr>
        <w:fldChar w:fldCharType="begin"/>
      </w:r>
      <w:r>
        <w:rPr>
          <w:lang w:val="en-US"/>
        </w:rPr>
        <w:instrText xml:space="preserve"> REF _Ref458610513 \r \h  \* MERGEFORMAT </w:instrText>
      </w:r>
      <w:r>
        <w:rPr>
          <w:lang w:val="en-US"/>
        </w:rPr>
      </w:r>
      <w:r>
        <w:rPr>
          <w:lang w:val="en-US"/>
        </w:rPr>
        <w:fldChar w:fldCharType="separate"/>
      </w:r>
      <w:r w:rsidR="00A5193E">
        <w:rPr>
          <w:lang w:val="en-US"/>
        </w:rPr>
        <w:t>[1]</w:t>
      </w:r>
      <w:r>
        <w:rPr>
          <w:lang w:val="en-US"/>
        </w:rPr>
        <w:fldChar w:fldCharType="end"/>
      </w:r>
      <w:r>
        <w:rPr>
          <w:lang w:val="en-US"/>
        </w:rPr>
        <w:t>, we will assume the adjacent channel interference is beam-formed as the wanted signal. In other words, we will assume that the adjacent channel leakage maintains the same spatial correlation as the wanted signal. Regarding the ACIR shape in the frequency domain in this analysis we assume a single flat value.</w:t>
      </w:r>
    </w:p>
    <w:p w14:paraId="6E9C69E0" w14:textId="09901F8A" w:rsidR="00716FAF" w:rsidRDefault="00716FAF" w:rsidP="00E63E2E">
      <w:pPr>
        <w:jc w:val="both"/>
        <w:rPr>
          <w:lang w:val="en-US"/>
        </w:rPr>
      </w:pPr>
      <w:r>
        <w:rPr>
          <w:lang w:val="en-US"/>
        </w:rPr>
        <w:t xml:space="preserve">BS antenna model is based on a uniform rectangular panel array (URPA) which </w:t>
      </w:r>
      <w:r>
        <w:t>consists of</w:t>
      </w:r>
      <w:r w:rsidRPr="00FB41E4">
        <w:t xml:space="preserve"> multiple (</w:t>
      </w:r>
      <w:proofErr w:type="spellStart"/>
      <w:r w:rsidRPr="00FB41E4">
        <w:rPr>
          <w:i/>
        </w:rPr>
        <w:t>M</w:t>
      </w:r>
      <w:r w:rsidRPr="00FB41E4">
        <w:rPr>
          <w:i/>
          <w:vertAlign w:val="subscript"/>
        </w:rPr>
        <w:t>g</w:t>
      </w:r>
      <w:r w:rsidRPr="00FB41E4">
        <w:t>∙</w:t>
      </w:r>
      <w:r w:rsidRPr="00FB41E4">
        <w:rPr>
          <w:i/>
        </w:rPr>
        <w:t>N</w:t>
      </w:r>
      <w:r w:rsidRPr="00FB41E4">
        <w:rPr>
          <w:i/>
          <w:vertAlign w:val="subscript"/>
        </w:rPr>
        <w:t>g</w:t>
      </w:r>
      <w:proofErr w:type="spellEnd"/>
      <w:r w:rsidRPr="00FB41E4">
        <w:t>) antenna panels</w:t>
      </w:r>
      <w:r>
        <w:rPr>
          <w:rFonts w:eastAsia="Malgun Gothic" w:hint="eastAsia"/>
        </w:rPr>
        <w:t>,</w:t>
      </w:r>
      <w:r w:rsidRPr="00FB41E4">
        <w:t xml:space="preserve"> </w:t>
      </w:r>
      <w:r>
        <w:rPr>
          <w:rFonts w:eastAsia="Malgun Gothic" w:hint="eastAsia"/>
        </w:rPr>
        <w:t>o</w:t>
      </w:r>
      <w:r w:rsidRPr="00FB41E4">
        <w:t xml:space="preserve">n each </w:t>
      </w:r>
      <w:r>
        <w:rPr>
          <w:rFonts w:eastAsia="Malgun Gothic" w:hint="eastAsia"/>
        </w:rPr>
        <w:t>of which</w:t>
      </w:r>
      <w:r w:rsidRPr="00FB41E4">
        <w:t>, uniform rectangular array is placed, which comprises multiple antenna elements with (</w:t>
      </w:r>
      <w:r w:rsidRPr="00FB41E4">
        <w:rPr>
          <w:i/>
        </w:rPr>
        <w:t>M, N, P</w:t>
      </w:r>
      <w:r w:rsidRPr="00FB41E4">
        <w:t>) and (</w:t>
      </w:r>
      <w:proofErr w:type="spellStart"/>
      <w:r w:rsidRPr="00FB41E4">
        <w:rPr>
          <w:i/>
        </w:rPr>
        <w:t>d</w:t>
      </w:r>
      <w:r w:rsidRPr="00E963EE">
        <w:rPr>
          <w:vertAlign w:val="subscript"/>
        </w:rPr>
        <w:t>H</w:t>
      </w:r>
      <w:proofErr w:type="spellEnd"/>
      <w:r w:rsidRPr="00FB41E4">
        <w:t xml:space="preserve">, </w:t>
      </w:r>
      <w:proofErr w:type="spellStart"/>
      <w:r w:rsidRPr="00FB41E4">
        <w:rPr>
          <w:i/>
        </w:rPr>
        <w:t>d</w:t>
      </w:r>
      <w:r w:rsidRPr="00E963EE">
        <w:rPr>
          <w:vertAlign w:val="subscript"/>
        </w:rPr>
        <w:t>V</w:t>
      </w:r>
      <w:proofErr w:type="spellEnd"/>
      <w:r w:rsidRPr="00FB41E4">
        <w:t>) as defined in</w:t>
      </w:r>
      <w:r>
        <w:t xml:space="preserve"> </w:t>
      </w:r>
      <w:r>
        <w:fldChar w:fldCharType="begin"/>
      </w:r>
      <w:r>
        <w:instrText xml:space="preserve"> REF _Ref458612082 \r \h </w:instrText>
      </w:r>
      <w:r>
        <w:fldChar w:fldCharType="separate"/>
      </w:r>
      <w:r>
        <w:t>[2]</w:t>
      </w:r>
      <w:r>
        <w:fldChar w:fldCharType="end"/>
      </w:r>
      <w:r>
        <w:t xml:space="preserve">, where </w:t>
      </w:r>
      <w:r>
        <w:rPr>
          <w:i/>
        </w:rPr>
        <w:t xml:space="preserve">M, N </w:t>
      </w:r>
      <w:r w:rsidRPr="00362266">
        <w:t>re</w:t>
      </w:r>
      <w:r>
        <w:t xml:space="preserve">present the number of vertical and horizontal elements in each panel, respectively, and </w:t>
      </w:r>
      <w:r w:rsidRPr="00362266">
        <w:rPr>
          <w:i/>
        </w:rPr>
        <w:t>P</w:t>
      </w:r>
      <w:r>
        <w:t xml:space="preserve"> represents the number of available polarizations.</w:t>
      </w:r>
    </w:p>
    <w:p w14:paraId="672955AD" w14:textId="3A0E0176" w:rsidR="00E63E2E" w:rsidRDefault="00716FAF" w:rsidP="00E63E2E">
      <w:pPr>
        <w:jc w:val="both"/>
        <w:rPr>
          <w:lang w:val="en-US"/>
        </w:rPr>
      </w:pPr>
      <w:r>
        <w:rPr>
          <w:lang w:val="en-US"/>
        </w:rPr>
        <w:t>In this contribution the following cases are considered</w:t>
      </w:r>
      <w:r w:rsidR="00DA281A">
        <w:rPr>
          <w:lang w:val="en-US"/>
        </w:rPr>
        <w:t>:</w:t>
      </w:r>
    </w:p>
    <w:p w14:paraId="3AAAA254" w14:textId="034CD9DD" w:rsidR="00DA281A" w:rsidRDefault="00DA281A" w:rsidP="00DA281A">
      <w:pPr>
        <w:pStyle w:val="ListParagraph"/>
        <w:numPr>
          <w:ilvl w:val="0"/>
          <w:numId w:val="42"/>
        </w:numPr>
        <w:jc w:val="both"/>
        <w:rPr>
          <w:lang w:val="en-US"/>
        </w:rPr>
      </w:pPr>
      <w:r>
        <w:rPr>
          <w:lang w:val="en-US"/>
        </w:rPr>
        <w:t>BS Antenna:</w:t>
      </w:r>
    </w:p>
    <w:p w14:paraId="04F83D78" w14:textId="77777777" w:rsidR="00A06960" w:rsidRDefault="00A06960" w:rsidP="00A06960">
      <w:pPr>
        <w:pStyle w:val="ListParagraph"/>
        <w:numPr>
          <w:ilvl w:val="1"/>
          <w:numId w:val="42"/>
        </w:numPr>
        <w:jc w:val="both"/>
        <w:rPr>
          <w:lang w:val="en-US"/>
        </w:rPr>
      </w:pPr>
      <w:r>
        <w:rPr>
          <w:lang w:val="en-US"/>
        </w:rPr>
        <w:t xml:space="preserve">Element gain: as described in </w:t>
      </w:r>
      <w:r>
        <w:rPr>
          <w:lang w:val="en-US"/>
        </w:rPr>
        <w:fldChar w:fldCharType="begin"/>
      </w:r>
      <w:r>
        <w:rPr>
          <w:lang w:val="en-US"/>
        </w:rPr>
        <w:instrText xml:space="preserve"> REF _Ref458612082 \r \h </w:instrText>
      </w:r>
      <w:r>
        <w:rPr>
          <w:lang w:val="en-US"/>
        </w:rPr>
      </w:r>
      <w:r>
        <w:rPr>
          <w:lang w:val="en-US"/>
        </w:rPr>
        <w:fldChar w:fldCharType="separate"/>
      </w:r>
      <w:r>
        <w:rPr>
          <w:lang w:val="en-US"/>
        </w:rPr>
        <w:t>[2]</w:t>
      </w:r>
      <w:r>
        <w:rPr>
          <w:lang w:val="en-US"/>
        </w:rPr>
        <w:fldChar w:fldCharType="end"/>
      </w:r>
      <w:r>
        <w:rPr>
          <w:lang w:val="en-US"/>
        </w:rPr>
        <w:t>: 65 degrees theta and phi 3dB angles, peak element gain equal to 8dBi</w:t>
      </w:r>
    </w:p>
    <w:p w14:paraId="425ADA78" w14:textId="77777777" w:rsidR="00A06960" w:rsidRDefault="00A06960" w:rsidP="00A06960">
      <w:pPr>
        <w:pStyle w:val="ListParagraph"/>
        <w:numPr>
          <w:ilvl w:val="1"/>
          <w:numId w:val="42"/>
        </w:numPr>
        <w:jc w:val="both"/>
        <w:rPr>
          <w:lang w:val="en-US"/>
        </w:rPr>
      </w:pPr>
      <w:r>
        <w:rPr>
          <w:lang w:val="en-US"/>
        </w:rPr>
        <w:t>Array factor: we will compare two assumptions:</w:t>
      </w:r>
    </w:p>
    <w:p w14:paraId="327BF813" w14:textId="77777777" w:rsidR="00A06960" w:rsidRPr="00F570D1" w:rsidRDefault="00A06960" w:rsidP="00A06960">
      <w:pPr>
        <w:pStyle w:val="ListParagraph"/>
        <w:numPr>
          <w:ilvl w:val="2"/>
          <w:numId w:val="42"/>
        </w:numPr>
        <w:jc w:val="both"/>
        <w:rPr>
          <w:lang w:val="en-US"/>
        </w:rPr>
      </w:pPr>
      <w:r w:rsidRPr="00F570D1">
        <w:rPr>
          <w:u w:val="single"/>
          <w:lang w:val="en-US"/>
        </w:rPr>
        <w:t>Fixed beam</w:t>
      </w:r>
      <w:r>
        <w:rPr>
          <w:u w:val="single"/>
          <w:lang w:val="en-US"/>
        </w:rPr>
        <w:t xml:space="preserve"> (FB)</w:t>
      </w:r>
      <w:r w:rsidRPr="00F570D1">
        <w:rPr>
          <w:lang w:val="en-US"/>
        </w:rPr>
        <w:t>:</w:t>
      </w:r>
      <w:r>
        <w:rPr>
          <w:lang w:val="en-US"/>
        </w:rPr>
        <w:t xml:space="preserve"> t</w:t>
      </w:r>
      <w:r w:rsidRPr="00F570D1">
        <w:rPr>
          <w:lang w:val="en-US"/>
        </w:rPr>
        <w:t xml:space="preserve">he configuration adopted in RAN1 for large scale </w:t>
      </w:r>
      <w:proofErr w:type="spellStart"/>
      <w:r w:rsidRPr="00F570D1">
        <w:rPr>
          <w:lang w:val="en-US"/>
        </w:rPr>
        <w:t>pathloss</w:t>
      </w:r>
      <w:proofErr w:type="spellEnd"/>
      <w:r w:rsidRPr="00F570D1">
        <w:rPr>
          <w:lang w:val="en-US"/>
        </w:rPr>
        <w:t xml:space="preserve"> calibration </w:t>
      </w:r>
      <w:r w:rsidRPr="00F570D1">
        <w:rPr>
          <w:lang w:val="en-US"/>
        </w:rPr>
        <w:fldChar w:fldCharType="begin"/>
      </w:r>
      <w:r w:rsidRPr="00F570D1">
        <w:rPr>
          <w:lang w:val="en-US"/>
        </w:rPr>
        <w:instrText xml:space="preserve"> REF _Ref458612082 \r \h </w:instrText>
      </w:r>
      <w:r w:rsidRPr="00F570D1">
        <w:rPr>
          <w:lang w:val="en-US"/>
        </w:rPr>
      </w:r>
      <w:r w:rsidRPr="00F570D1">
        <w:rPr>
          <w:lang w:val="en-US"/>
        </w:rPr>
        <w:fldChar w:fldCharType="separate"/>
      </w:r>
      <w:r w:rsidRPr="00F570D1">
        <w:rPr>
          <w:lang w:val="en-US"/>
        </w:rPr>
        <w:t>[2]</w:t>
      </w:r>
      <w:r w:rsidRPr="00F570D1">
        <w:rPr>
          <w:lang w:val="en-US"/>
        </w:rPr>
        <w:fldChar w:fldCharType="end"/>
      </w:r>
      <w:r w:rsidRPr="00F570D1">
        <w:rPr>
          <w:lang w:val="en-US"/>
        </w:rPr>
        <w:t>. This configuration consists of 1 Panel (</w:t>
      </w:r>
      <w:r w:rsidRPr="00F570D1">
        <w:rPr>
          <w:i/>
        </w:rPr>
        <w:t>M</w:t>
      </w:r>
      <w:r w:rsidRPr="00F570D1">
        <w:rPr>
          <w:i/>
          <w:vertAlign w:val="subscript"/>
        </w:rPr>
        <w:t>g</w:t>
      </w:r>
      <w:r>
        <w:t>=</w:t>
      </w:r>
      <w:r w:rsidRPr="00F570D1">
        <w:rPr>
          <w:i/>
        </w:rPr>
        <w:t>N</w:t>
      </w:r>
      <w:r w:rsidRPr="00F570D1">
        <w:rPr>
          <w:i/>
          <w:vertAlign w:val="subscript"/>
        </w:rPr>
        <w:t>g</w:t>
      </w:r>
      <w:r w:rsidRPr="00F570D1">
        <w:rPr>
          <w:i/>
        </w:rPr>
        <w:t>=</w:t>
      </w:r>
      <w:r w:rsidRPr="00F570D1">
        <w:t>1)</w:t>
      </w:r>
      <w:r w:rsidRPr="00F570D1">
        <w:rPr>
          <w:lang w:val="en-US"/>
        </w:rPr>
        <w:t xml:space="preserve">, with 10 </w:t>
      </w:r>
      <w:r>
        <w:rPr>
          <w:lang w:val="en-US"/>
        </w:rPr>
        <w:t>vertical</w:t>
      </w:r>
      <w:r w:rsidRPr="00F570D1">
        <w:rPr>
          <w:lang w:val="en-US"/>
        </w:rPr>
        <w:t xml:space="preserve"> elements (i.e. </w:t>
      </w:r>
      <w:r w:rsidRPr="00F570D1">
        <w:rPr>
          <w:i/>
          <w:lang w:val="en-US"/>
        </w:rPr>
        <w:t>M=</w:t>
      </w:r>
      <w:r w:rsidRPr="00F570D1">
        <w:rPr>
          <w:lang w:val="en-US"/>
        </w:rPr>
        <w:t xml:space="preserve">10 and </w:t>
      </w:r>
      <w:r w:rsidRPr="00F570D1">
        <w:rPr>
          <w:i/>
          <w:lang w:val="en-US"/>
        </w:rPr>
        <w:t>N=</w:t>
      </w:r>
      <w:r w:rsidRPr="00F570D1">
        <w:rPr>
          <w:lang w:val="en-US"/>
        </w:rPr>
        <w:t>1)</w:t>
      </w:r>
      <w:r>
        <w:rPr>
          <w:lang w:val="en-US"/>
        </w:rPr>
        <w:t xml:space="preserve">. In this case the beam orientation is fixed: the beam is pointing with a </w:t>
      </w:r>
      <w:proofErr w:type="spellStart"/>
      <w:r>
        <w:rPr>
          <w:lang w:val="en-US"/>
        </w:rPr>
        <w:t>downtilt</w:t>
      </w:r>
      <w:proofErr w:type="spellEnd"/>
      <w:r>
        <w:rPr>
          <w:lang w:val="en-US"/>
        </w:rPr>
        <w:t xml:space="preserve"> angle of 102 degrees and oriented to the sector direction in the azimuth domain (note that this configuration only creates vertical beam steering). All elements are equally spaced by λ/2.</w:t>
      </w:r>
    </w:p>
    <w:p w14:paraId="58E8B982" w14:textId="68FFEB85" w:rsidR="00A06960" w:rsidRDefault="00A06960" w:rsidP="00A06960">
      <w:pPr>
        <w:pStyle w:val="ListParagraph"/>
        <w:numPr>
          <w:ilvl w:val="2"/>
          <w:numId w:val="42"/>
        </w:numPr>
        <w:jc w:val="both"/>
        <w:rPr>
          <w:lang w:val="en-US"/>
        </w:rPr>
      </w:pPr>
      <w:r w:rsidRPr="00F570D1">
        <w:rPr>
          <w:u w:val="single"/>
          <w:lang w:val="en-US"/>
        </w:rPr>
        <w:t>Dynamic beam</w:t>
      </w:r>
      <w:r>
        <w:rPr>
          <w:u w:val="single"/>
          <w:lang w:val="en-US"/>
        </w:rPr>
        <w:t xml:space="preserve"> (DB)</w:t>
      </w:r>
      <w:r w:rsidRPr="00F570D1">
        <w:rPr>
          <w:lang w:val="en-US"/>
        </w:rPr>
        <w:t>:</w:t>
      </w:r>
      <w:r>
        <w:rPr>
          <w:lang w:val="en-US"/>
        </w:rPr>
        <w:t xml:space="preserve"> in this configuration we also assume single panel </w:t>
      </w:r>
      <w:r w:rsidRPr="00F570D1">
        <w:rPr>
          <w:lang w:val="en-US"/>
        </w:rPr>
        <w:t>(</w:t>
      </w:r>
      <w:r w:rsidRPr="00F570D1">
        <w:rPr>
          <w:i/>
        </w:rPr>
        <w:t>M</w:t>
      </w:r>
      <w:r w:rsidRPr="00F570D1">
        <w:rPr>
          <w:i/>
          <w:vertAlign w:val="subscript"/>
        </w:rPr>
        <w:t>g</w:t>
      </w:r>
      <w:r>
        <w:t>=</w:t>
      </w:r>
      <w:r w:rsidRPr="00F570D1">
        <w:rPr>
          <w:i/>
        </w:rPr>
        <w:t>N</w:t>
      </w:r>
      <w:r w:rsidRPr="00F570D1">
        <w:rPr>
          <w:i/>
          <w:vertAlign w:val="subscript"/>
        </w:rPr>
        <w:t>g</w:t>
      </w:r>
      <w:r w:rsidRPr="00F570D1">
        <w:rPr>
          <w:i/>
        </w:rPr>
        <w:t>=</w:t>
      </w:r>
      <w:r w:rsidRPr="00F570D1">
        <w:t>1)</w:t>
      </w:r>
      <w:r>
        <w:rPr>
          <w:lang w:val="en-US"/>
        </w:rPr>
        <w:t xml:space="preserve"> with variable number of elements in the panel (variable M and N). All element are equally spaced by λ/2 and single polarization is used. The main difference compared to the </w:t>
      </w:r>
      <w:r w:rsidR="006723F0">
        <w:rPr>
          <w:lang w:val="en-US"/>
        </w:rPr>
        <w:t>fixed</w:t>
      </w:r>
      <w:r>
        <w:rPr>
          <w:lang w:val="en-US"/>
        </w:rPr>
        <w:t xml:space="preserve"> beam configuration is that in this case the beam directly points to the schedule UE. To this purpose the beam forming weights are adjusted as described in </w:t>
      </w:r>
      <w:r>
        <w:rPr>
          <w:lang w:val="en-US"/>
        </w:rPr>
        <w:fldChar w:fldCharType="begin"/>
      </w:r>
      <w:r>
        <w:rPr>
          <w:lang w:val="en-US"/>
        </w:rPr>
        <w:instrText xml:space="preserve"> REF _Ref458610513 \r \h </w:instrText>
      </w:r>
      <w:r>
        <w:rPr>
          <w:lang w:val="en-US"/>
        </w:rPr>
      </w:r>
      <w:r>
        <w:rPr>
          <w:lang w:val="en-US"/>
        </w:rPr>
        <w:fldChar w:fldCharType="separate"/>
      </w:r>
      <w:r>
        <w:rPr>
          <w:lang w:val="en-US"/>
        </w:rPr>
        <w:t>[1]</w:t>
      </w:r>
      <w:r>
        <w:rPr>
          <w:lang w:val="en-US"/>
        </w:rPr>
        <w:fldChar w:fldCharType="end"/>
      </w:r>
      <w:r>
        <w:rPr>
          <w:lang w:val="en-US"/>
        </w:rPr>
        <w:t>.</w:t>
      </w:r>
    </w:p>
    <w:p w14:paraId="0C3223E4" w14:textId="77777777" w:rsidR="0015220E" w:rsidRDefault="0015220E" w:rsidP="0015220E">
      <w:pPr>
        <w:pStyle w:val="ListParagraph"/>
        <w:numPr>
          <w:ilvl w:val="0"/>
          <w:numId w:val="42"/>
        </w:numPr>
        <w:jc w:val="both"/>
        <w:rPr>
          <w:lang w:val="en-US"/>
        </w:rPr>
      </w:pPr>
      <w:r>
        <w:rPr>
          <w:lang w:val="en-US"/>
        </w:rPr>
        <w:t>UE Antenna:</w:t>
      </w:r>
    </w:p>
    <w:p w14:paraId="12272897" w14:textId="239F3E34" w:rsidR="00DA281A" w:rsidRPr="00DA281A" w:rsidRDefault="0015220E" w:rsidP="0015220E">
      <w:pPr>
        <w:pStyle w:val="ListParagraph"/>
        <w:numPr>
          <w:ilvl w:val="1"/>
          <w:numId w:val="42"/>
        </w:numPr>
        <w:jc w:val="both"/>
        <w:rPr>
          <w:lang w:val="en-US"/>
        </w:rPr>
      </w:pPr>
      <w:r>
        <w:rPr>
          <w:lang w:val="en-US"/>
        </w:rPr>
        <w:t>Omni direction with 0dBi gain</w:t>
      </w:r>
      <w:r w:rsidR="00417600">
        <w:rPr>
          <w:lang w:val="en-US"/>
        </w:rPr>
        <w:t>.</w:t>
      </w:r>
      <w:r w:rsidR="00DA281A">
        <w:rPr>
          <w:lang w:val="en-US"/>
        </w:rPr>
        <w:t xml:space="preserve"> </w:t>
      </w:r>
    </w:p>
    <w:p w14:paraId="7C761C57" w14:textId="28E87AD0" w:rsidR="00E63E2E" w:rsidRDefault="0015220E" w:rsidP="00E63E2E">
      <w:pPr>
        <w:rPr>
          <w:lang w:val="en-US"/>
        </w:rPr>
      </w:pPr>
      <w:r>
        <w:rPr>
          <w:lang w:val="en-US"/>
        </w:rPr>
        <w:t>Other relevant parameters adopted in the simulation are the following:</w:t>
      </w:r>
    </w:p>
    <w:p w14:paraId="7AE5FFF6" w14:textId="68386437" w:rsidR="0015220E" w:rsidRDefault="0015220E" w:rsidP="0015220E">
      <w:pPr>
        <w:pStyle w:val="ListParagraph"/>
        <w:numPr>
          <w:ilvl w:val="0"/>
          <w:numId w:val="43"/>
        </w:numPr>
        <w:rPr>
          <w:lang w:val="en-US"/>
        </w:rPr>
      </w:pPr>
      <w:r>
        <w:rPr>
          <w:lang w:val="en-US"/>
        </w:rPr>
        <w:t>Carrier Frequency: 30GHz</w:t>
      </w:r>
    </w:p>
    <w:p w14:paraId="2EF42B93" w14:textId="2A425072" w:rsidR="0015220E" w:rsidRDefault="0015220E" w:rsidP="0015220E">
      <w:pPr>
        <w:pStyle w:val="ListParagraph"/>
        <w:numPr>
          <w:ilvl w:val="0"/>
          <w:numId w:val="43"/>
        </w:numPr>
        <w:rPr>
          <w:lang w:val="en-US"/>
        </w:rPr>
      </w:pPr>
      <w:proofErr w:type="spellStart"/>
      <w:r>
        <w:rPr>
          <w:lang w:val="en-US"/>
        </w:rPr>
        <w:t>Tx</w:t>
      </w:r>
      <w:proofErr w:type="spellEnd"/>
      <w:r>
        <w:rPr>
          <w:lang w:val="en-US"/>
        </w:rPr>
        <w:t xml:space="preserve"> Power: 23dBm</w:t>
      </w:r>
    </w:p>
    <w:p w14:paraId="56698C90" w14:textId="7A967764" w:rsidR="0015220E" w:rsidRDefault="0015220E" w:rsidP="0015220E">
      <w:pPr>
        <w:pStyle w:val="ListParagraph"/>
        <w:numPr>
          <w:ilvl w:val="0"/>
          <w:numId w:val="43"/>
        </w:numPr>
        <w:rPr>
          <w:lang w:val="en-US"/>
        </w:rPr>
      </w:pPr>
      <w:r>
        <w:rPr>
          <w:lang w:val="en-US"/>
        </w:rPr>
        <w:t>UE Noise Figure: 13dB</w:t>
      </w:r>
    </w:p>
    <w:p w14:paraId="39D34F50" w14:textId="796F3488" w:rsidR="0015220E" w:rsidRPr="0015220E" w:rsidRDefault="0015220E" w:rsidP="0015220E">
      <w:pPr>
        <w:pStyle w:val="ListParagraph"/>
        <w:numPr>
          <w:ilvl w:val="0"/>
          <w:numId w:val="43"/>
        </w:numPr>
        <w:rPr>
          <w:lang w:val="en-US"/>
        </w:rPr>
      </w:pPr>
      <w:r>
        <w:rPr>
          <w:lang w:val="en-US"/>
        </w:rPr>
        <w:t>Channel BW: 100MHz</w:t>
      </w:r>
    </w:p>
    <w:p w14:paraId="6590B113" w14:textId="61FFA388" w:rsidR="0015220E" w:rsidRDefault="00285405" w:rsidP="00BD2D61">
      <w:pPr>
        <w:jc w:val="both"/>
        <w:rPr>
          <w:lang w:val="en-US"/>
        </w:rPr>
      </w:pPr>
      <w:r>
        <w:rPr>
          <w:lang w:val="en-US"/>
        </w:rPr>
        <w:t xml:space="preserve">For the </w:t>
      </w:r>
      <w:r w:rsidR="003B29CD">
        <w:rPr>
          <w:lang w:val="en-US"/>
        </w:rPr>
        <w:t xml:space="preserve">adjacent channel </w:t>
      </w:r>
      <w:r>
        <w:rPr>
          <w:lang w:val="en-US"/>
        </w:rPr>
        <w:t>system</w:t>
      </w:r>
      <w:r w:rsidR="003B29CD">
        <w:rPr>
          <w:lang w:val="en-US"/>
        </w:rPr>
        <w:t>, we will assume that aggressor base stations are co-located with victim base stations.</w:t>
      </w:r>
    </w:p>
    <w:p w14:paraId="728AAD55" w14:textId="2707F5DF" w:rsidR="0020451B" w:rsidRDefault="0020451B" w:rsidP="0020451B">
      <w:pPr>
        <w:pStyle w:val="Heading2"/>
        <w:jc w:val="both"/>
        <w:rPr>
          <w:lang w:val="en-US"/>
        </w:rPr>
      </w:pPr>
      <w:proofErr w:type="spellStart"/>
      <w:r>
        <w:rPr>
          <w:lang w:val="en-US"/>
        </w:rPr>
        <w:t>Pathloss</w:t>
      </w:r>
      <w:proofErr w:type="spellEnd"/>
      <w:r>
        <w:rPr>
          <w:lang w:val="en-US"/>
        </w:rPr>
        <w:t xml:space="preserve"> and coupling loss curves</w:t>
      </w:r>
    </w:p>
    <w:p w14:paraId="68448A41" w14:textId="77777777" w:rsidR="00EF3D73" w:rsidRPr="00F465A4" w:rsidRDefault="00F465A4" w:rsidP="00EF3D73">
      <w:pPr>
        <w:jc w:val="both"/>
        <w:rPr>
          <w:lang w:val="en-US"/>
        </w:rPr>
      </w:pPr>
      <w:r>
        <w:rPr>
          <w:lang w:val="en-US"/>
        </w:rPr>
        <w:fldChar w:fldCharType="begin"/>
      </w:r>
      <w:r>
        <w:rPr>
          <w:lang w:val="en-US"/>
        </w:rPr>
        <w:instrText xml:space="preserve"> REF _Ref458615631 \h </w:instrText>
      </w:r>
      <w:r>
        <w:rPr>
          <w:lang w:val="en-US"/>
        </w:rPr>
      </w:r>
      <w:r>
        <w:rPr>
          <w:lang w:val="en-US"/>
        </w:rPr>
        <w:fldChar w:fldCharType="separate"/>
      </w:r>
      <w:r w:rsidR="00A5193E">
        <w:t xml:space="preserve">Figure </w:t>
      </w:r>
      <w:r w:rsidR="00A5193E">
        <w:rPr>
          <w:noProof/>
        </w:rPr>
        <w:t>2</w:t>
      </w:r>
      <w:r>
        <w:rPr>
          <w:lang w:val="en-US"/>
        </w:rPr>
        <w:fldChar w:fldCharType="end"/>
      </w:r>
      <w:r>
        <w:rPr>
          <w:lang w:val="en-US"/>
        </w:rPr>
        <w:t xml:space="preserve"> shows the path loss and coupling loss CDF obtained in the scenario described in section </w:t>
      </w:r>
      <w:r>
        <w:rPr>
          <w:lang w:val="en-US"/>
        </w:rPr>
        <w:fldChar w:fldCharType="begin"/>
      </w:r>
      <w:r>
        <w:rPr>
          <w:lang w:val="en-US"/>
        </w:rPr>
        <w:instrText xml:space="preserve"> REF _Ref458615668 \r \h  \* MERGEFORMAT </w:instrText>
      </w:r>
      <w:r>
        <w:rPr>
          <w:lang w:val="en-US"/>
        </w:rPr>
      </w:r>
      <w:r>
        <w:rPr>
          <w:lang w:val="en-US"/>
        </w:rPr>
        <w:fldChar w:fldCharType="separate"/>
      </w:r>
      <w:r w:rsidR="00A5193E">
        <w:rPr>
          <w:lang w:val="en-US"/>
        </w:rPr>
        <w:t>2.1</w:t>
      </w:r>
      <w:r>
        <w:rPr>
          <w:lang w:val="en-US"/>
        </w:rPr>
        <w:fldChar w:fldCharType="end"/>
      </w:r>
      <w:r>
        <w:rPr>
          <w:lang w:val="en-US"/>
        </w:rPr>
        <w:t xml:space="preserve">. The black curve represents the path loss distribution, while red and green curves represent coupling loss distribution, i.e. antenna gains </w:t>
      </w:r>
      <w:r>
        <w:rPr>
          <w:lang w:val="en-US"/>
        </w:rPr>
        <w:lastRenderedPageBreak/>
        <w:t>are added compared to the black curve. Green curve</w:t>
      </w:r>
      <w:r w:rsidR="00285405">
        <w:rPr>
          <w:lang w:val="en-US"/>
        </w:rPr>
        <w:t xml:space="preserve"> is obtained considering</w:t>
      </w:r>
      <w:r>
        <w:rPr>
          <w:lang w:val="en-US"/>
        </w:rPr>
        <w:t xml:space="preserve"> only element gain at the BS, </w:t>
      </w:r>
      <w:r w:rsidR="00EF3D73">
        <w:rPr>
          <w:lang w:val="en-US"/>
        </w:rPr>
        <w:t>while for the red curve cases element gain plus the fixed beam (FB) with (</w:t>
      </w:r>
      <w:r w:rsidR="00EF3D73" w:rsidRPr="00F570D1">
        <w:rPr>
          <w:i/>
          <w:lang w:val="en-US"/>
        </w:rPr>
        <w:t>M</w:t>
      </w:r>
      <w:r w:rsidR="00EF3D73">
        <w:rPr>
          <w:lang w:val="en-US"/>
        </w:rPr>
        <w:t xml:space="preserve">=10, </w:t>
      </w:r>
      <w:r w:rsidR="00EF3D73" w:rsidRPr="00F570D1">
        <w:rPr>
          <w:i/>
          <w:lang w:val="en-US"/>
        </w:rPr>
        <w:t>N</w:t>
      </w:r>
      <w:r w:rsidR="00EF3D73">
        <w:rPr>
          <w:lang w:val="en-US"/>
        </w:rPr>
        <w:t xml:space="preserve">=1) configuration is adopted. </w:t>
      </w:r>
    </w:p>
    <w:p w14:paraId="5C569FE7" w14:textId="7FEE9535" w:rsidR="00F465A4" w:rsidRDefault="00EF3D73" w:rsidP="00021DD2">
      <w:pPr>
        <w:jc w:val="center"/>
      </w:pPr>
      <w:r w:rsidRPr="00EF3D73">
        <w:rPr>
          <w:noProof/>
          <w:lang w:val="en-US"/>
        </w:rPr>
        <w:drawing>
          <wp:inline distT="0" distB="0" distL="0" distR="0" wp14:anchorId="3D47EAAF" wp14:editId="3D54F959">
            <wp:extent cx="5120640" cy="384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A868BAA" w14:textId="3F1B9D90" w:rsidR="0020451B" w:rsidRPr="0020451B" w:rsidRDefault="00F465A4" w:rsidP="00F465A4">
      <w:pPr>
        <w:pStyle w:val="Caption"/>
        <w:jc w:val="center"/>
        <w:rPr>
          <w:lang w:val="en-US"/>
        </w:rPr>
      </w:pPr>
      <w:bookmarkStart w:id="2" w:name="_Ref458615631"/>
      <w:r>
        <w:t xml:space="preserve">Figure </w:t>
      </w:r>
      <w:r>
        <w:fldChar w:fldCharType="begin"/>
      </w:r>
      <w:r>
        <w:instrText xml:space="preserve"> SEQ Figure \* ARABIC </w:instrText>
      </w:r>
      <w:r>
        <w:fldChar w:fldCharType="separate"/>
      </w:r>
      <w:r w:rsidR="00A5193E">
        <w:rPr>
          <w:noProof/>
        </w:rPr>
        <w:t>2</w:t>
      </w:r>
      <w:r>
        <w:fldChar w:fldCharType="end"/>
      </w:r>
      <w:bookmarkEnd w:id="2"/>
      <w:r>
        <w:t>. Path Loss and Coupling Loss distribution.</w:t>
      </w:r>
    </w:p>
    <w:p w14:paraId="2A57A0E4" w14:textId="583E5D46" w:rsidR="003B29CD" w:rsidRDefault="003B29CD" w:rsidP="003B29CD">
      <w:pPr>
        <w:pStyle w:val="Heading2"/>
        <w:jc w:val="both"/>
        <w:rPr>
          <w:lang w:val="en-US"/>
        </w:rPr>
      </w:pPr>
      <w:r>
        <w:rPr>
          <w:lang w:val="en-US"/>
        </w:rPr>
        <w:t>SIR curves</w:t>
      </w:r>
    </w:p>
    <w:p w14:paraId="4603E63C" w14:textId="71320F04" w:rsidR="00F571C1" w:rsidRDefault="003B29CD" w:rsidP="00F571C1">
      <w:pPr>
        <w:jc w:val="both"/>
      </w:pPr>
      <w:r>
        <w:t xml:space="preserve">In this section we consider signal to interference ratio </w:t>
      </w:r>
      <w:r w:rsidR="00285405">
        <w:t xml:space="preserve">(SIR) </w:t>
      </w:r>
      <w:r>
        <w:t xml:space="preserve">curves. Note that in this particular case, </w:t>
      </w:r>
      <w:r w:rsidR="000C02FD">
        <w:t xml:space="preserve">thermal </w:t>
      </w:r>
      <w:r>
        <w:t xml:space="preserve">noise is not considered, therefore </w:t>
      </w:r>
      <w:r w:rsidR="000C02FD">
        <w:t>these plots are very useful to isolate the gain due to beam forming.</w:t>
      </w:r>
    </w:p>
    <w:p w14:paraId="2000C4FE" w14:textId="2C7F6CD7" w:rsidR="00BD2D61" w:rsidRDefault="00BD2D61" w:rsidP="00F571C1">
      <w:pPr>
        <w:jc w:val="both"/>
      </w:pPr>
      <w:r>
        <w:fldChar w:fldCharType="begin"/>
      </w:r>
      <w:r>
        <w:instrText xml:space="preserve"> REF _Ref458616763 \h </w:instrText>
      </w:r>
      <w:r>
        <w:fldChar w:fldCharType="separate"/>
      </w:r>
      <w:r w:rsidR="00A5193E">
        <w:t xml:space="preserve">Figure </w:t>
      </w:r>
      <w:r w:rsidR="00A5193E">
        <w:rPr>
          <w:noProof/>
        </w:rPr>
        <w:t>3</w:t>
      </w:r>
      <w:r>
        <w:fldChar w:fldCharType="end"/>
      </w:r>
      <w:r>
        <w:t xml:space="preserve"> shows the SIR CDFs for the case in which only co-channel interference from other cells is considered, i.e. adjacent channel interference is not present. Black curve represents the reference point in which only a single element is radiating, while the red curve represents the RAN1 channel model calibration scenario (</w:t>
      </w:r>
      <w:r w:rsidR="00EF3D73">
        <w:t xml:space="preserve">Fixed beam with </w:t>
      </w:r>
      <w:r w:rsidR="00EF3D73" w:rsidRPr="00EA59B9">
        <w:rPr>
          <w:i/>
        </w:rPr>
        <w:t>M</w:t>
      </w:r>
      <w:r w:rsidR="00EF3D73">
        <w:t xml:space="preserve">=10, </w:t>
      </w:r>
      <w:r w:rsidR="00EF3D73" w:rsidRPr="00EA59B9">
        <w:rPr>
          <w:i/>
        </w:rPr>
        <w:t>N</w:t>
      </w:r>
      <w:r w:rsidR="00EF3D73">
        <w:t>-1</w:t>
      </w:r>
      <w:r>
        <w:t xml:space="preserve">). Blue curves show the SIR available when multiple elements </w:t>
      </w:r>
      <w:r w:rsidR="00285405">
        <w:t>are placed in</w:t>
      </w:r>
      <w:r>
        <w:t xml:space="preserve"> one panel. </w:t>
      </w:r>
      <w:r w:rsidR="00EF3D73">
        <w:t>The configuration in the label represents the M x N configuration, i.e. the number of vertical (element</w:t>
      </w:r>
      <w:r w:rsidR="00CE2CEF">
        <w:t>s</w:t>
      </w:r>
      <w:r w:rsidR="00EF3D73">
        <w:t xml:space="preserve"> in a column) and horizontal elements (element</w:t>
      </w:r>
      <w:r w:rsidR="00CE2CEF">
        <w:t>s</w:t>
      </w:r>
      <w:r w:rsidR="00EF3D73">
        <w:t xml:space="preserve"> in a row), respectively. </w:t>
      </w:r>
      <w:r>
        <w:t xml:space="preserve">As it can be observed moving from </w:t>
      </w:r>
      <w:r w:rsidR="00EF3D73">
        <w:t>(</w:t>
      </w:r>
      <w:r w:rsidR="00EF3D73" w:rsidRPr="00EA59B9">
        <w:rPr>
          <w:i/>
        </w:rPr>
        <w:t>M</w:t>
      </w:r>
      <w:r w:rsidR="00EF3D73">
        <w:t xml:space="preserve">=1, </w:t>
      </w:r>
      <w:r w:rsidR="00EF3D73" w:rsidRPr="00EA59B9">
        <w:rPr>
          <w:i/>
        </w:rPr>
        <w:t>N</w:t>
      </w:r>
      <w:r w:rsidR="00EF3D73">
        <w:t>=16) to (</w:t>
      </w:r>
      <w:r w:rsidR="00EF3D73" w:rsidRPr="00EA59B9">
        <w:rPr>
          <w:i/>
        </w:rPr>
        <w:t>M</w:t>
      </w:r>
      <w:r w:rsidR="00EF3D73">
        <w:t xml:space="preserve">=4, </w:t>
      </w:r>
      <w:r w:rsidR="00EF3D73" w:rsidRPr="00EA59B9">
        <w:rPr>
          <w:i/>
        </w:rPr>
        <w:t>N</w:t>
      </w:r>
      <w:r w:rsidR="00EF3D73">
        <w:t xml:space="preserve">=16) </w:t>
      </w:r>
      <w:r>
        <w:t xml:space="preserve">brings a marginal gain compared to the shift from </w:t>
      </w:r>
      <w:r w:rsidR="00EF3D73">
        <w:t>(</w:t>
      </w:r>
      <w:r w:rsidR="00EF3D73" w:rsidRPr="00EA59B9">
        <w:rPr>
          <w:i/>
        </w:rPr>
        <w:t>M</w:t>
      </w:r>
      <w:r w:rsidR="00EF3D73">
        <w:t xml:space="preserve">=4, </w:t>
      </w:r>
      <w:r w:rsidR="00EF3D73" w:rsidRPr="00EA59B9">
        <w:rPr>
          <w:i/>
        </w:rPr>
        <w:t>N</w:t>
      </w:r>
      <w:r w:rsidR="00EF3D73">
        <w:t>=16) to (</w:t>
      </w:r>
      <w:r w:rsidR="00EF3D73" w:rsidRPr="00EA59B9">
        <w:rPr>
          <w:i/>
        </w:rPr>
        <w:t>M</w:t>
      </w:r>
      <w:r w:rsidR="00EF3D73">
        <w:t xml:space="preserve">=4, </w:t>
      </w:r>
      <w:r w:rsidR="00EF3D73" w:rsidRPr="00EA59B9">
        <w:rPr>
          <w:i/>
        </w:rPr>
        <w:t>N</w:t>
      </w:r>
      <w:r w:rsidR="00EF3D73">
        <w:t>=64)</w:t>
      </w:r>
      <w:r>
        <w:t xml:space="preserve">. Indeed, although in both cases there </w:t>
      </w:r>
      <w:r w:rsidR="00417600">
        <w:t xml:space="preserve">is an </w:t>
      </w:r>
      <w:r>
        <w:t xml:space="preserve">increase of elements by </w:t>
      </w:r>
      <w:r w:rsidR="00417600">
        <w:t xml:space="preserve">a </w:t>
      </w:r>
      <w:r>
        <w:t xml:space="preserve">factor 4, increasing the azimuthal gain shows much better benefit compared to increasing the elevation discrimination. </w:t>
      </w:r>
    </w:p>
    <w:p w14:paraId="1FB119E3" w14:textId="674D5284" w:rsidR="00CE2432" w:rsidRDefault="00CE2432" w:rsidP="00F571C1">
      <w:pPr>
        <w:jc w:val="both"/>
      </w:pPr>
      <w:r>
        <w:fldChar w:fldCharType="begin"/>
      </w:r>
      <w:r>
        <w:instrText xml:space="preserve"> REF _Ref458620642 \h </w:instrText>
      </w:r>
      <w:r>
        <w:fldChar w:fldCharType="separate"/>
      </w:r>
      <w:r w:rsidR="00A5193E">
        <w:t xml:space="preserve">Figure </w:t>
      </w:r>
      <w:r w:rsidR="00A5193E">
        <w:rPr>
          <w:noProof/>
        </w:rPr>
        <w:t>4</w:t>
      </w:r>
      <w:r>
        <w:fldChar w:fldCharType="end"/>
      </w:r>
      <w:r>
        <w:t xml:space="preserve"> shows a comparison of SIR due to </w:t>
      </w:r>
      <w:r w:rsidR="009964AB">
        <w:t>i</w:t>
      </w:r>
      <w:r>
        <w:t>nter cell co-channel</w:t>
      </w:r>
      <w:r w:rsidR="009964AB">
        <w:t xml:space="preserve"> and adjacent channel interference for a single element </w:t>
      </w:r>
      <w:r w:rsidR="00EF3D73">
        <w:t>(SE) and a (</w:t>
      </w:r>
      <w:r w:rsidR="00EF3D73" w:rsidRPr="00EA59B9">
        <w:rPr>
          <w:i/>
        </w:rPr>
        <w:t>M</w:t>
      </w:r>
      <w:r w:rsidR="00EF3D73">
        <w:t xml:space="preserve">=4, </w:t>
      </w:r>
      <w:r w:rsidR="00EF3D73" w:rsidRPr="00EA59B9">
        <w:rPr>
          <w:i/>
        </w:rPr>
        <w:t>N</w:t>
      </w:r>
      <w:r w:rsidR="00EF3D73">
        <w:t>=64) dynamic beam (DB) scenarios</w:t>
      </w:r>
      <w:r w:rsidR="009964AB">
        <w:t xml:space="preserve">. The curves show the impact of different ACIR values. An interesting observation which can be made is related to the comparison between SE and </w:t>
      </w:r>
      <w:r w:rsidR="00EF3D73">
        <w:t>DB (</w:t>
      </w:r>
      <w:r w:rsidR="00EF3D73" w:rsidRPr="00EA59B9">
        <w:rPr>
          <w:i/>
        </w:rPr>
        <w:t>M</w:t>
      </w:r>
      <w:r w:rsidR="00EF3D73">
        <w:t xml:space="preserve">=4, </w:t>
      </w:r>
      <w:r w:rsidR="00EF3D73" w:rsidRPr="00EA59B9">
        <w:rPr>
          <w:i/>
        </w:rPr>
        <w:t>N</w:t>
      </w:r>
      <w:r w:rsidR="00EF3D73">
        <w:t xml:space="preserve">=64) </w:t>
      </w:r>
      <w:r w:rsidR="00417600">
        <w:t>scenario</w:t>
      </w:r>
      <w:r w:rsidR="009964AB">
        <w:t xml:space="preserve">. Even considering ACIR value of 10dB, the adjacent channel interference in the </w:t>
      </w:r>
      <w:r w:rsidR="00EF3D73">
        <w:t>DB (</w:t>
      </w:r>
      <w:r w:rsidR="00EF3D73" w:rsidRPr="00EA59B9">
        <w:rPr>
          <w:i/>
        </w:rPr>
        <w:t>M</w:t>
      </w:r>
      <w:r w:rsidR="00EF3D73">
        <w:t xml:space="preserve">=4, </w:t>
      </w:r>
      <w:r w:rsidR="00EF3D73" w:rsidRPr="00EA59B9">
        <w:rPr>
          <w:i/>
        </w:rPr>
        <w:t>N</w:t>
      </w:r>
      <w:r w:rsidR="00EF3D73">
        <w:t>=64)</w:t>
      </w:r>
      <w:r w:rsidR="009964AB">
        <w:t xml:space="preserve"> </w:t>
      </w:r>
      <w:r w:rsidR="00243110">
        <w:t>case is</w:t>
      </w:r>
      <w:r w:rsidR="009964AB">
        <w:t xml:space="preserve"> much lower (negligible) compared to the co-channel interference present in the single antenna element scenario. This observation should be taken into account when determining ACLR and ACS requirements.</w:t>
      </w:r>
    </w:p>
    <w:p w14:paraId="1FD1BF36" w14:textId="1755378F" w:rsidR="000C02FD" w:rsidRDefault="00F12DC2" w:rsidP="000C02FD">
      <w:pPr>
        <w:keepNext/>
        <w:jc w:val="center"/>
      </w:pPr>
      <w:r w:rsidRPr="00F12DC2">
        <w:rPr>
          <w:noProof/>
          <w:lang w:val="en-US"/>
        </w:rPr>
        <w:lastRenderedPageBreak/>
        <w:drawing>
          <wp:inline distT="0" distB="0" distL="0" distR="0" wp14:anchorId="57D332C8" wp14:editId="009CB841">
            <wp:extent cx="5120640" cy="3840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C80A908" w14:textId="0F9D1BD7" w:rsidR="000C02FD" w:rsidRDefault="000C02FD" w:rsidP="000C02FD">
      <w:pPr>
        <w:pStyle w:val="Caption"/>
        <w:jc w:val="center"/>
      </w:pPr>
      <w:bookmarkStart w:id="3" w:name="_Ref458616763"/>
      <w:r>
        <w:t xml:space="preserve">Figure </w:t>
      </w:r>
      <w:r>
        <w:fldChar w:fldCharType="begin"/>
      </w:r>
      <w:r>
        <w:instrText xml:space="preserve"> SEQ Figure \* ARABIC </w:instrText>
      </w:r>
      <w:r>
        <w:fldChar w:fldCharType="separate"/>
      </w:r>
      <w:r w:rsidR="00A5193E">
        <w:rPr>
          <w:noProof/>
        </w:rPr>
        <w:t>3</w:t>
      </w:r>
      <w:r>
        <w:fldChar w:fldCharType="end"/>
      </w:r>
      <w:bookmarkEnd w:id="3"/>
      <w:r>
        <w:t>. SIR distributions. Only Interference from other co-channel cells is considered</w:t>
      </w:r>
      <w:r w:rsidR="00E7153E">
        <w:t>.</w:t>
      </w:r>
    </w:p>
    <w:p w14:paraId="46BA0A41" w14:textId="449A6250" w:rsidR="00CE2432" w:rsidRDefault="00F12DC2" w:rsidP="00CE2432">
      <w:pPr>
        <w:keepNext/>
        <w:jc w:val="center"/>
      </w:pPr>
      <w:r w:rsidRPr="00F12DC2">
        <w:rPr>
          <w:noProof/>
          <w:lang w:val="en-US"/>
        </w:rPr>
        <w:drawing>
          <wp:inline distT="0" distB="0" distL="0" distR="0" wp14:anchorId="618BA742" wp14:editId="65F35F42">
            <wp:extent cx="5120640" cy="38404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7F21D80" w14:textId="7F564F63" w:rsidR="00810C53" w:rsidRDefault="00CE2432" w:rsidP="00531B46">
      <w:pPr>
        <w:pStyle w:val="Caption"/>
      </w:pPr>
      <w:bookmarkStart w:id="4" w:name="_Ref458620642"/>
      <w:r>
        <w:t xml:space="preserve">Figure </w:t>
      </w:r>
      <w:r>
        <w:fldChar w:fldCharType="begin"/>
      </w:r>
      <w:r>
        <w:instrText xml:space="preserve"> SEQ Figure \* ARABIC </w:instrText>
      </w:r>
      <w:r>
        <w:fldChar w:fldCharType="separate"/>
      </w:r>
      <w:r w:rsidR="00A5193E">
        <w:rPr>
          <w:noProof/>
        </w:rPr>
        <w:t>4</w:t>
      </w:r>
      <w:r>
        <w:fldChar w:fldCharType="end"/>
      </w:r>
      <w:bookmarkEnd w:id="4"/>
      <w:r>
        <w:t>. SIR distributions. Interference from other co-channel cells and</w:t>
      </w:r>
      <w:r w:rsidR="00243110">
        <w:t xml:space="preserve"> adjacent channel interference are</w:t>
      </w:r>
      <w:r>
        <w:t xml:space="preserve"> considered.</w:t>
      </w:r>
    </w:p>
    <w:p w14:paraId="17EFC957" w14:textId="77777777" w:rsidR="009964AB" w:rsidRPr="009964AB" w:rsidRDefault="009964AB" w:rsidP="009964AB"/>
    <w:p w14:paraId="17356D19" w14:textId="5E705EC0" w:rsidR="009964AB" w:rsidRDefault="009964AB" w:rsidP="009964AB">
      <w:pPr>
        <w:pStyle w:val="Heading2"/>
        <w:jc w:val="both"/>
        <w:rPr>
          <w:lang w:val="en-US"/>
        </w:rPr>
      </w:pPr>
      <w:r>
        <w:rPr>
          <w:lang w:val="en-US"/>
        </w:rPr>
        <w:lastRenderedPageBreak/>
        <w:t>SINR curves</w:t>
      </w:r>
    </w:p>
    <w:p w14:paraId="12840765" w14:textId="34E7FC2A" w:rsidR="00E976AD" w:rsidRPr="00E976AD" w:rsidRDefault="00E976AD" w:rsidP="00E976AD">
      <w:pPr>
        <w:rPr>
          <w:lang w:val="en-US"/>
        </w:rPr>
      </w:pPr>
      <w:r>
        <w:rPr>
          <w:lang w:val="en-US"/>
        </w:rPr>
        <w:t xml:space="preserve">SINR curves are collected in </w:t>
      </w:r>
      <w:r>
        <w:rPr>
          <w:lang w:val="en-US"/>
        </w:rPr>
        <w:fldChar w:fldCharType="begin"/>
      </w:r>
      <w:r>
        <w:rPr>
          <w:lang w:val="en-US"/>
        </w:rPr>
        <w:instrText xml:space="preserve"> REF _Ref458622266 \h </w:instrText>
      </w:r>
      <w:r>
        <w:rPr>
          <w:lang w:val="en-US"/>
        </w:rPr>
      </w:r>
      <w:r>
        <w:rPr>
          <w:lang w:val="en-US"/>
        </w:rPr>
        <w:fldChar w:fldCharType="separate"/>
      </w:r>
      <w:r w:rsidR="00A5193E">
        <w:t xml:space="preserve">Figure </w:t>
      </w:r>
      <w:r w:rsidR="00A5193E">
        <w:rPr>
          <w:noProof/>
        </w:rPr>
        <w:t>5</w:t>
      </w:r>
      <w:r>
        <w:rPr>
          <w:lang w:val="en-US"/>
        </w:rPr>
        <w:fldChar w:fldCharType="end"/>
      </w:r>
      <w:r>
        <w:rPr>
          <w:lang w:val="en-US"/>
        </w:rPr>
        <w:t xml:space="preserve">. Black curves show the SE case, blue curves are obtained with </w:t>
      </w:r>
      <w:r w:rsidR="00EF3D73">
        <w:rPr>
          <w:lang w:val="en-US"/>
        </w:rPr>
        <w:t xml:space="preserve">DB </w:t>
      </w:r>
      <w:r w:rsidR="00EF3D73">
        <w:t>(</w:t>
      </w:r>
      <w:r w:rsidR="00EF3D73" w:rsidRPr="00EA59B9">
        <w:rPr>
          <w:i/>
        </w:rPr>
        <w:t>M</w:t>
      </w:r>
      <w:r w:rsidR="00EF3D73">
        <w:t xml:space="preserve">=1, </w:t>
      </w:r>
      <w:r w:rsidR="00EF3D73" w:rsidRPr="00EA59B9">
        <w:rPr>
          <w:i/>
        </w:rPr>
        <w:t>N</w:t>
      </w:r>
      <w:r w:rsidR="00EF3D73">
        <w:t>=16</w:t>
      </w:r>
      <w:r w:rsidR="00021DD2">
        <w:t xml:space="preserve">) </w:t>
      </w:r>
      <w:r w:rsidR="00021DD2">
        <w:rPr>
          <w:lang w:val="en-US"/>
        </w:rPr>
        <w:t>configuration</w:t>
      </w:r>
      <w:r>
        <w:rPr>
          <w:lang w:val="en-US"/>
        </w:rPr>
        <w:t xml:space="preserve">, while the red curves refer to the </w:t>
      </w:r>
      <w:r w:rsidR="00EF3D73">
        <w:rPr>
          <w:lang w:val="en-US"/>
        </w:rPr>
        <w:t xml:space="preserve">DB </w:t>
      </w:r>
      <w:r w:rsidR="00EF3D73">
        <w:t>(</w:t>
      </w:r>
      <w:r w:rsidR="00EF3D73" w:rsidRPr="00EA59B9">
        <w:rPr>
          <w:i/>
        </w:rPr>
        <w:t>M</w:t>
      </w:r>
      <w:r w:rsidR="00EF3D73">
        <w:t xml:space="preserve">=4, </w:t>
      </w:r>
      <w:r w:rsidR="00EF3D73" w:rsidRPr="00EA59B9">
        <w:rPr>
          <w:i/>
        </w:rPr>
        <w:t>N</w:t>
      </w:r>
      <w:r w:rsidR="00EF3D73">
        <w:t>=64</w:t>
      </w:r>
      <w:r w:rsidR="00021DD2">
        <w:t xml:space="preserve">) </w:t>
      </w:r>
      <w:r w:rsidR="00021DD2">
        <w:rPr>
          <w:lang w:val="en-US"/>
        </w:rPr>
        <w:t>case</w:t>
      </w:r>
      <w:r>
        <w:rPr>
          <w:lang w:val="en-US"/>
        </w:rPr>
        <w:t>.</w:t>
      </w:r>
    </w:p>
    <w:p w14:paraId="444B4836" w14:textId="51AC0410" w:rsidR="00E976AD" w:rsidRDefault="00F12DC2" w:rsidP="00E976AD">
      <w:pPr>
        <w:keepNext/>
        <w:jc w:val="center"/>
      </w:pPr>
      <w:r w:rsidRPr="00F12DC2">
        <w:rPr>
          <w:noProof/>
          <w:lang w:val="en-US"/>
        </w:rPr>
        <w:drawing>
          <wp:inline distT="0" distB="0" distL="0" distR="0" wp14:anchorId="1288F5D9" wp14:editId="0CD4902F">
            <wp:extent cx="5120640" cy="384048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650BBD0F" w14:textId="0A3C70C1" w:rsidR="009964AB" w:rsidRPr="009964AB" w:rsidRDefault="00E976AD" w:rsidP="00347912">
      <w:pPr>
        <w:pStyle w:val="Caption"/>
        <w:rPr>
          <w:lang w:val="en-US"/>
        </w:rPr>
      </w:pPr>
      <w:bookmarkStart w:id="5" w:name="_Ref458622266"/>
      <w:r>
        <w:t xml:space="preserve">Figure </w:t>
      </w:r>
      <w:r>
        <w:fldChar w:fldCharType="begin"/>
      </w:r>
      <w:r>
        <w:instrText xml:space="preserve"> SEQ Figure \* ARABIC </w:instrText>
      </w:r>
      <w:r>
        <w:fldChar w:fldCharType="separate"/>
      </w:r>
      <w:r w:rsidR="00A5193E">
        <w:rPr>
          <w:noProof/>
        </w:rPr>
        <w:t>5</w:t>
      </w:r>
      <w:r>
        <w:fldChar w:fldCharType="end"/>
      </w:r>
      <w:bookmarkEnd w:id="5"/>
      <w:r>
        <w:t xml:space="preserve">. SINR distributions. Interference from other co-channel cells and adjacent channel interference </w:t>
      </w:r>
      <w:r w:rsidR="00243110">
        <w:t>are</w:t>
      </w:r>
      <w:r>
        <w:t xml:space="preserve"> considered.</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C94B391" w14:textId="4BBE4DCA" w:rsidR="000364DC" w:rsidRDefault="00407D2B" w:rsidP="00F571C1">
      <w:pPr>
        <w:jc w:val="both"/>
      </w:pPr>
      <w:r>
        <w:t>In this contributions</w:t>
      </w:r>
      <w:r w:rsidR="00E976AD">
        <w:t xml:space="preserve"> we presented a collection of </w:t>
      </w:r>
      <w:proofErr w:type="spellStart"/>
      <w:r w:rsidR="00E976AD">
        <w:t>pathloss</w:t>
      </w:r>
      <w:proofErr w:type="spellEnd"/>
      <w:r w:rsidR="00E976AD">
        <w:t>, coupling loss, SIR and SINR curves. The curves are intended to be used for the calibration phase in the NR adjacent channel coexistence study</w:t>
      </w:r>
      <w:r w:rsidR="00452501">
        <w:t>. We focused on Indoor scenario and considered DL simulation with several beamforming configurations</w:t>
      </w:r>
      <w:r w:rsidR="00285405">
        <w:t>.</w:t>
      </w:r>
      <w:bookmarkStart w:id="6" w:name="_GoBack"/>
      <w:bookmarkEnd w:id="6"/>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0289362A" w14:textId="386B739B" w:rsidR="00644DBE" w:rsidRDefault="00644DBE" w:rsidP="00644DBE">
      <w:pPr>
        <w:numPr>
          <w:ilvl w:val="0"/>
          <w:numId w:val="2"/>
        </w:numPr>
        <w:tabs>
          <w:tab w:val="left" w:pos="1080"/>
        </w:tabs>
        <w:jc w:val="both"/>
        <w:rPr>
          <w:lang w:val="en-US"/>
        </w:rPr>
      </w:pPr>
      <w:bookmarkStart w:id="7" w:name="_Ref458610513"/>
      <w:bookmarkStart w:id="8" w:name="_Ref447207862"/>
      <w:bookmarkStart w:id="9" w:name="_Ref442191279"/>
      <w:bookmarkStart w:id="10" w:name="_Ref447031905"/>
      <w:bookmarkStart w:id="11" w:name="_Ref419388595"/>
      <w:bookmarkStart w:id="12" w:name="_Ref419289036"/>
      <w:bookmarkStart w:id="13" w:name="_Ref450558964"/>
      <w:r>
        <w:rPr>
          <w:lang w:val="en-US"/>
        </w:rPr>
        <w:t>R4-16</w:t>
      </w:r>
      <w:r w:rsidR="009E4E46">
        <w:rPr>
          <w:lang w:val="en-US"/>
        </w:rPr>
        <w:t>5831</w:t>
      </w:r>
      <w:r>
        <w:rPr>
          <w:lang w:val="en-US"/>
        </w:rPr>
        <w:t>, “</w:t>
      </w:r>
      <w:r w:rsidRPr="00644DBE">
        <w:rPr>
          <w:lang w:val="en-US"/>
        </w:rPr>
        <w:t>Methodology and further assumptions for NR coexistence study</w:t>
      </w:r>
      <w:r>
        <w:rPr>
          <w:lang w:val="en-US"/>
        </w:rPr>
        <w:t>”, Qualcomm Incorporated.</w:t>
      </w:r>
      <w:bookmarkEnd w:id="7"/>
    </w:p>
    <w:p w14:paraId="04C65D21" w14:textId="7F176D81" w:rsidR="003D395F" w:rsidRPr="00644DBE" w:rsidRDefault="003D395F" w:rsidP="003D395F">
      <w:pPr>
        <w:numPr>
          <w:ilvl w:val="0"/>
          <w:numId w:val="2"/>
        </w:numPr>
        <w:tabs>
          <w:tab w:val="left" w:pos="1080"/>
        </w:tabs>
        <w:jc w:val="both"/>
        <w:rPr>
          <w:lang w:val="en-US"/>
        </w:rPr>
      </w:pPr>
      <w:bookmarkStart w:id="14" w:name="_Ref458612082"/>
      <w:r w:rsidRPr="003D395F">
        <w:rPr>
          <w:lang w:val="en-US"/>
        </w:rPr>
        <w:t>3GPP TR 38.900 V1.0.0</w:t>
      </w:r>
      <w:r>
        <w:rPr>
          <w:lang w:val="en-US"/>
        </w:rPr>
        <w:t>, “</w:t>
      </w:r>
      <w:r w:rsidRPr="0084533A">
        <w:rPr>
          <w:rFonts w:hint="eastAsia"/>
          <w:lang w:eastAsia="ko-KR"/>
        </w:rPr>
        <w:t>C</w:t>
      </w:r>
      <w:r w:rsidRPr="0084533A">
        <w:t xml:space="preserve">hannel model for </w:t>
      </w:r>
      <w:r w:rsidRPr="0084533A">
        <w:rPr>
          <w:lang w:eastAsia="ko-KR"/>
        </w:rPr>
        <w:t>frequency spectrum above 6 GHz</w:t>
      </w:r>
      <w:r>
        <w:rPr>
          <w:lang w:val="en-US"/>
        </w:rPr>
        <w:t>”.</w:t>
      </w:r>
      <w:bookmarkEnd w:id="8"/>
      <w:bookmarkEnd w:id="9"/>
      <w:bookmarkEnd w:id="10"/>
      <w:bookmarkEnd w:id="11"/>
      <w:bookmarkEnd w:id="12"/>
      <w:bookmarkEnd w:id="13"/>
      <w:bookmarkEnd w:id="14"/>
    </w:p>
    <w:sectPr w:rsidR="003D395F" w:rsidRPr="00644DBE"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3798F" w14:textId="77777777" w:rsidR="00095593" w:rsidRDefault="00095593">
      <w:r>
        <w:separator/>
      </w:r>
    </w:p>
  </w:endnote>
  <w:endnote w:type="continuationSeparator" w:id="0">
    <w:p w14:paraId="24154393" w14:textId="77777777" w:rsidR="00095593" w:rsidRDefault="0009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3D395F" w:rsidRDefault="003D39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D395F" w:rsidRDefault="003D3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3D395F" w:rsidRDefault="003D39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7912">
      <w:rPr>
        <w:rStyle w:val="PageNumber"/>
      </w:rPr>
      <w:t>2</w:t>
    </w:r>
    <w:r>
      <w:rPr>
        <w:rStyle w:val="PageNumber"/>
      </w:rPr>
      <w:fldChar w:fldCharType="end"/>
    </w:r>
  </w:p>
  <w:p w14:paraId="40DAC66D" w14:textId="77777777" w:rsidR="003D395F" w:rsidRDefault="003D39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417A3" w14:textId="77777777" w:rsidR="00095593" w:rsidRDefault="00095593">
      <w:r>
        <w:separator/>
      </w:r>
    </w:p>
  </w:footnote>
  <w:footnote w:type="continuationSeparator" w:id="0">
    <w:p w14:paraId="086EAE00" w14:textId="77777777" w:rsidR="00095593" w:rsidRDefault="000955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7"/>
  </w:num>
  <w:num w:numId="4">
    <w:abstractNumId w:val="39"/>
  </w:num>
  <w:num w:numId="5">
    <w:abstractNumId w:val="31"/>
  </w:num>
  <w:num w:numId="6">
    <w:abstractNumId w:val="19"/>
  </w:num>
  <w:num w:numId="7">
    <w:abstractNumId w:val="8"/>
  </w:num>
  <w:num w:numId="8">
    <w:abstractNumId w:val="36"/>
  </w:num>
  <w:num w:numId="9">
    <w:abstractNumId w:val="20"/>
  </w:num>
  <w:num w:numId="10">
    <w:abstractNumId w:val="28"/>
  </w:num>
  <w:num w:numId="11">
    <w:abstractNumId w:val="40"/>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1"/>
  </w:num>
  <w:num w:numId="19">
    <w:abstractNumId w:val="27"/>
  </w:num>
  <w:num w:numId="20">
    <w:abstractNumId w:val="9"/>
  </w:num>
  <w:num w:numId="21">
    <w:abstractNumId w:val="4"/>
  </w:num>
  <w:num w:numId="22">
    <w:abstractNumId w:val="16"/>
  </w:num>
  <w:num w:numId="23">
    <w:abstractNumId w:val="32"/>
  </w:num>
  <w:num w:numId="24">
    <w:abstractNumId w:val="23"/>
  </w:num>
  <w:num w:numId="25">
    <w:abstractNumId w:val="35"/>
  </w:num>
  <w:num w:numId="26">
    <w:abstractNumId w:val="10"/>
  </w:num>
  <w:num w:numId="27">
    <w:abstractNumId w:val="22"/>
  </w:num>
  <w:num w:numId="28">
    <w:abstractNumId w:val="26"/>
  </w:num>
  <w:num w:numId="29">
    <w:abstractNumId w:val="15"/>
  </w:num>
  <w:num w:numId="30">
    <w:abstractNumId w:val="18"/>
  </w:num>
  <w:num w:numId="31">
    <w:abstractNumId w:val="25"/>
  </w:num>
  <w:num w:numId="32">
    <w:abstractNumId w:val="7"/>
  </w:num>
  <w:num w:numId="33">
    <w:abstractNumId w:val="17"/>
  </w:num>
  <w:num w:numId="34">
    <w:abstractNumId w:val="2"/>
  </w:num>
  <w:num w:numId="35">
    <w:abstractNumId w:val="25"/>
  </w:num>
  <w:num w:numId="36">
    <w:abstractNumId w:val="24"/>
  </w:num>
  <w:num w:numId="37">
    <w:abstractNumId w:val="30"/>
  </w:num>
  <w:num w:numId="38">
    <w:abstractNumId w:val="33"/>
  </w:num>
  <w:num w:numId="39">
    <w:abstractNumId w:val="29"/>
  </w:num>
  <w:num w:numId="40">
    <w:abstractNumId w:val="1"/>
  </w:num>
  <w:num w:numId="41">
    <w:abstractNumId w:val="6"/>
  </w:num>
  <w:num w:numId="42">
    <w:abstractNumId w:val="13"/>
  </w:num>
  <w:num w:numId="43">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FC023D0-1DA2-4E59-9EC6-119D2994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100</TotalTime>
  <Pages>5</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22</cp:revision>
  <cp:lastPrinted>2016-08-10T18:08:00Z</cp:lastPrinted>
  <dcterms:created xsi:type="dcterms:W3CDTF">2016-08-10T18:08:00Z</dcterms:created>
  <dcterms:modified xsi:type="dcterms:W3CDTF">2016-08-12T20:44:00Z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